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2EED3" w14:textId="2812B8DA" w:rsidR="00C55F26" w:rsidRPr="008C39F7" w:rsidRDefault="00C55F26" w:rsidP="00C55F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sidR="0064295E">
        <w:rPr>
          <w:rFonts w:ascii="Arial" w:eastAsia="SimSun" w:hAnsi="Arial" w:cs="Arial"/>
          <w:b/>
          <w:sz w:val="24"/>
          <w:szCs w:val="24"/>
        </w:rPr>
        <w:t>8</w:t>
      </w:r>
      <w:r w:rsidRPr="00EE422F">
        <w:rPr>
          <w:rFonts w:ascii="Arial" w:eastAsia="SimSun" w:hAnsi="Arial" w:cs="Arial"/>
          <w:b/>
          <w:sz w:val="24"/>
          <w:szCs w:val="24"/>
        </w:rPr>
        <w:t xml:space="preserve"> </w:t>
      </w:r>
      <w:r w:rsidRPr="00EE422F">
        <w:rPr>
          <w:rFonts w:ascii="Arial" w:eastAsia="SimSun" w:hAnsi="Arial" w:cs="Arial"/>
          <w:b/>
          <w:sz w:val="24"/>
          <w:szCs w:val="24"/>
        </w:rPr>
        <w:tab/>
      </w:r>
      <w:r w:rsidR="009833CC" w:rsidRPr="009833CC">
        <w:rPr>
          <w:rFonts w:ascii="Arial" w:eastAsia="SimSun" w:hAnsi="Arial" w:cs="Arial"/>
          <w:b/>
          <w:sz w:val="24"/>
          <w:szCs w:val="24"/>
        </w:rPr>
        <w:t>R4-2312521</w:t>
      </w:r>
    </w:p>
    <w:p w14:paraId="3D81165B" w14:textId="77777777" w:rsidR="00C55F26" w:rsidRPr="008C39F7" w:rsidRDefault="00C55F26" w:rsidP="00C55F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w:t>
      </w:r>
      <w:r w:rsidRPr="008C39F7">
        <w:rPr>
          <w:rFonts w:ascii="Arial" w:eastAsia="SimSun" w:hAnsi="Arial" w:cs="Times New Roman"/>
          <w:b/>
          <w:sz w:val="24"/>
          <w:szCs w:val="20"/>
        </w:rPr>
        <w:t xml:space="preserve"> 2</w:t>
      </w:r>
      <w:r>
        <w:rPr>
          <w:rFonts w:ascii="Arial" w:eastAsia="SimSun" w:hAnsi="Arial" w:cs="Times New Roman"/>
          <w:b/>
          <w:sz w:val="24"/>
          <w:szCs w:val="20"/>
        </w:rPr>
        <w:t>1</w:t>
      </w:r>
      <w:r w:rsidRPr="008C39F7">
        <w:rPr>
          <w:rFonts w:ascii="Arial" w:eastAsia="SimSun" w:hAnsi="Arial" w:cs="Times New Roman"/>
          <w:b/>
          <w:sz w:val="24"/>
          <w:szCs w:val="20"/>
        </w:rPr>
        <w:t xml:space="preserve"> – 2</w:t>
      </w:r>
      <w:r>
        <w:rPr>
          <w:rFonts w:ascii="Arial" w:eastAsia="SimSun" w:hAnsi="Arial" w:cs="Times New Roman"/>
          <w:b/>
          <w:sz w:val="24"/>
          <w:szCs w:val="20"/>
        </w:rPr>
        <w:t>5</w:t>
      </w:r>
      <w:r w:rsidRPr="008C39F7">
        <w:rPr>
          <w:rFonts w:ascii="Arial" w:eastAsia="SimSun" w:hAnsi="Arial" w:cs="Times New Roman"/>
          <w:b/>
          <w:sz w:val="24"/>
          <w:szCs w:val="20"/>
        </w:rPr>
        <w:t>, 2023</w:t>
      </w:r>
    </w:p>
    <w:p w14:paraId="347BA9C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2CBA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A04CC23" w14:textId="2445404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55F26">
        <w:rPr>
          <w:rFonts w:ascii="Arial" w:eastAsia="Calibri" w:hAnsi="Arial" w:cs="Arial"/>
          <w:b/>
          <w:bCs/>
          <w:sz w:val="24"/>
        </w:rPr>
        <w:t>Discussion on LS response for beam application time</w:t>
      </w:r>
    </w:p>
    <w:p w14:paraId="05182EA3" w14:textId="05DC2DD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C55F26" w:rsidRPr="00C55F26">
        <w:rPr>
          <w:rFonts w:ascii="Arial" w:eastAsia="MS Mincho" w:hAnsi="Arial" w:cs="Arial"/>
          <w:b/>
          <w:bCs/>
          <w:sz w:val="24"/>
          <w:szCs w:val="20"/>
        </w:rPr>
        <w:t>8.24.1</w:t>
      </w:r>
    </w:p>
    <w:p w14:paraId="0BC1E77A" w14:textId="7777777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8D9F901" w14:textId="77777777" w:rsidR="00841BCD" w:rsidRDefault="00841BCD" w:rsidP="00A37002">
      <w:pPr>
        <w:pStyle w:val="RAN4H1"/>
      </w:pPr>
      <w:bookmarkStart w:id="0" w:name="_Toc116995841"/>
      <w:r w:rsidRPr="008C39F7">
        <w:t>Intro</w:t>
      </w:r>
      <w:r w:rsidRPr="008C39F7">
        <w:rPr>
          <w:rStyle w:val="RAN4H1Char"/>
          <w:lang w:val="en-US"/>
        </w:rPr>
        <w:t>ductio</w:t>
      </w:r>
      <w:r w:rsidRPr="008C39F7">
        <w:t>n</w:t>
      </w:r>
      <w:bookmarkEnd w:id="0"/>
    </w:p>
    <w:p w14:paraId="5C9E6D54" w14:textId="0D3F221C" w:rsidR="008347BE" w:rsidRPr="008347BE" w:rsidRDefault="008347BE" w:rsidP="008347BE">
      <w:r>
        <w:t xml:space="preserve">RAN1 has sent an LS to RAN4 in </w:t>
      </w:r>
      <w:r w:rsidR="0076765D">
        <w:rPr>
          <w:lang w:val="en-GB" w:eastAsia="en-GB"/>
        </w:rPr>
        <w:t>[1]</w:t>
      </w:r>
      <w:r>
        <w:rPr>
          <w:lang w:val="en-GB" w:eastAsia="en-GB"/>
        </w:rPr>
        <w:t>, where one of the questions to RAN4 considers beam application time at LTM cell switch. The relevant part of the LS is:</w:t>
      </w:r>
    </w:p>
    <w:tbl>
      <w:tblPr>
        <w:tblStyle w:val="TableGrid"/>
        <w:tblW w:w="0" w:type="auto"/>
        <w:tblLook w:val="04A0" w:firstRow="1" w:lastRow="0" w:firstColumn="1" w:lastColumn="0" w:noHBand="0" w:noVBand="1"/>
      </w:tblPr>
      <w:tblGrid>
        <w:gridCol w:w="9617"/>
      </w:tblGrid>
      <w:tr w:rsidR="008347BE" w14:paraId="0D706A63" w14:textId="77777777" w:rsidTr="00A7593E">
        <w:tc>
          <w:tcPr>
            <w:tcW w:w="9617" w:type="dxa"/>
          </w:tcPr>
          <w:p w14:paraId="44D5042F" w14:textId="77777777" w:rsidR="008347BE" w:rsidRPr="00262A22" w:rsidRDefault="008347BE" w:rsidP="00A7593E">
            <w:pPr>
              <w:pStyle w:val="Header"/>
              <w:numPr>
                <w:ilvl w:val="0"/>
                <w:numId w:val="31"/>
              </w:numPr>
              <w:tabs>
                <w:tab w:val="clear" w:pos="4513"/>
                <w:tab w:val="clear" w:pos="9026"/>
              </w:tabs>
              <w:jc w:val="left"/>
              <w:rPr>
                <w:rFonts w:ascii="Arial" w:hAnsi="Arial" w:cs="Arial"/>
                <w:b/>
                <w:sz w:val="16"/>
                <w:szCs w:val="18"/>
                <w:lang w:eastAsia="ja-JP"/>
              </w:rPr>
            </w:pPr>
            <w:r w:rsidRPr="00262A22">
              <w:rPr>
                <w:rFonts w:ascii="Arial" w:hAnsi="Arial" w:cs="Arial"/>
                <w:b/>
                <w:sz w:val="16"/>
                <w:szCs w:val="18"/>
                <w:lang w:eastAsia="ja-JP"/>
              </w:rPr>
              <w:t>Beam application time</w:t>
            </w:r>
          </w:p>
          <w:p w14:paraId="3B0E62A8" w14:textId="77777777" w:rsidR="008347BE" w:rsidRPr="00262A22" w:rsidRDefault="008347BE" w:rsidP="00A7593E">
            <w:pPr>
              <w:pStyle w:val="Header"/>
              <w:rPr>
                <w:rFonts w:ascii="Arial" w:hAnsi="Arial" w:cs="Arial"/>
                <w:b/>
                <w:sz w:val="16"/>
                <w:szCs w:val="18"/>
                <w:lang w:eastAsia="ja-JP"/>
              </w:rPr>
            </w:pPr>
          </w:p>
          <w:p w14:paraId="31EB89DE" w14:textId="77777777" w:rsidR="008347BE" w:rsidRPr="00262A22" w:rsidRDefault="008347BE" w:rsidP="00A7593E">
            <w:pPr>
              <w:pStyle w:val="Header"/>
              <w:rPr>
                <w:rFonts w:ascii="Arial" w:hAnsi="Arial" w:cs="Arial"/>
                <w:bCs/>
                <w:sz w:val="16"/>
                <w:szCs w:val="18"/>
                <w:lang w:eastAsia="ja-JP"/>
              </w:rPr>
            </w:pPr>
            <w:r w:rsidRPr="00262A22">
              <w:rPr>
                <w:rFonts w:ascii="Arial" w:hAnsi="Arial" w:cs="Arial"/>
                <w:bCs/>
                <w:sz w:val="16"/>
                <w:szCs w:val="18"/>
                <w:lang w:eastAsia="ja-JP"/>
              </w:rPr>
              <w:t>RAN1 has made the following agreement in RAN1#113:</w:t>
            </w:r>
          </w:p>
          <w:p w14:paraId="3414E463" w14:textId="77777777" w:rsidR="008347BE" w:rsidRPr="00262A22" w:rsidRDefault="008347BE" w:rsidP="00A7593E">
            <w:pPr>
              <w:pStyle w:val="Header"/>
              <w:rPr>
                <w:rFonts w:ascii="Arial" w:hAnsi="Arial" w:cs="Arial"/>
                <w:bCs/>
                <w:sz w:val="16"/>
                <w:szCs w:val="18"/>
                <w:highlight w:val="yellow"/>
                <w:lang w:eastAsia="ja-JP"/>
              </w:rPr>
            </w:pPr>
          </w:p>
          <w:p w14:paraId="208A8288" w14:textId="77777777" w:rsidR="008347BE" w:rsidRPr="00262A22" w:rsidRDefault="008347BE" w:rsidP="00A7593E">
            <w:pPr>
              <w:rPr>
                <w:rFonts w:ascii="Arial" w:eastAsia="DengXian" w:hAnsi="Arial" w:cs="Arial"/>
                <w:b/>
                <w:bCs/>
                <w:sz w:val="16"/>
                <w:szCs w:val="18"/>
                <w:highlight w:val="green"/>
                <w:lang w:eastAsia="zh-CN"/>
              </w:rPr>
            </w:pPr>
            <w:r w:rsidRPr="00262A22">
              <w:rPr>
                <w:rFonts w:ascii="Arial" w:eastAsia="DengXian" w:hAnsi="Arial" w:cs="Arial"/>
                <w:b/>
                <w:bCs/>
                <w:sz w:val="16"/>
                <w:szCs w:val="18"/>
                <w:highlight w:val="green"/>
                <w:lang w:eastAsia="zh-CN"/>
              </w:rPr>
              <w:t>Agreement</w:t>
            </w:r>
          </w:p>
          <w:p w14:paraId="7CBE69B4" w14:textId="77777777" w:rsidR="008347BE" w:rsidRPr="00262A22" w:rsidRDefault="008347BE" w:rsidP="00A7593E">
            <w:pPr>
              <w:pStyle w:val="ListParagraph"/>
              <w:numPr>
                <w:ilvl w:val="0"/>
                <w:numId w:val="32"/>
              </w:numPr>
              <w:snapToGrid w:val="0"/>
              <w:contextualSpacing w:val="0"/>
              <w:jc w:val="both"/>
              <w:rPr>
                <w:rFonts w:ascii="Arial" w:eastAsia="Batang" w:hAnsi="Arial" w:cs="Arial"/>
                <w:sz w:val="16"/>
                <w:szCs w:val="18"/>
              </w:rPr>
            </w:pPr>
            <w:r w:rsidRPr="00262A22">
              <w:rPr>
                <w:rFonts w:ascii="Arial" w:hAnsi="Arial" w:cs="Arial"/>
                <w:sz w:val="16"/>
                <w:szCs w:val="18"/>
              </w:rPr>
              <w:t>For the beam application time for Rel-18 LTM,</w:t>
            </w:r>
          </w:p>
          <w:p w14:paraId="2FEA177A" w14:textId="77777777" w:rsidR="008347BE" w:rsidRPr="00262A22" w:rsidRDefault="008347BE" w:rsidP="00A7593E">
            <w:pPr>
              <w:pStyle w:val="ListParagraph"/>
              <w:numPr>
                <w:ilvl w:val="1"/>
                <w:numId w:val="32"/>
              </w:numPr>
              <w:snapToGrid w:val="0"/>
              <w:contextualSpacing w:val="0"/>
              <w:jc w:val="both"/>
              <w:rPr>
                <w:rFonts w:ascii="Arial" w:hAnsi="Arial" w:cs="Arial"/>
                <w:sz w:val="16"/>
                <w:szCs w:val="18"/>
              </w:rPr>
            </w:pPr>
            <w:r w:rsidRPr="00262A22">
              <w:rPr>
                <w:rFonts w:ascii="Arial" w:hAnsi="Arial" w:cs="Arial"/>
                <w:sz w:val="16"/>
                <w:szCs w:val="18"/>
              </w:rPr>
              <w:t>Beam application time is supported, and starts after the last symbol of the PUCCH or PUSCH carrying the HARQ-ACK for the PDSCH which carries MAC-CE containing cell switch command with the beam indication for the target cell(s)</w:t>
            </w:r>
          </w:p>
          <w:p w14:paraId="42936B2D" w14:textId="77777777" w:rsidR="008347BE" w:rsidRPr="00262A22" w:rsidRDefault="008347BE" w:rsidP="00A7593E">
            <w:pPr>
              <w:pStyle w:val="ListParagraph"/>
              <w:numPr>
                <w:ilvl w:val="2"/>
                <w:numId w:val="32"/>
              </w:numPr>
              <w:snapToGrid w:val="0"/>
              <w:contextualSpacing w:val="0"/>
              <w:jc w:val="both"/>
              <w:rPr>
                <w:rFonts w:ascii="Arial" w:hAnsi="Arial" w:cs="Arial"/>
                <w:sz w:val="16"/>
                <w:szCs w:val="18"/>
              </w:rPr>
            </w:pPr>
            <w:r w:rsidRPr="00262A22">
              <w:rPr>
                <w:rFonts w:ascii="Arial" w:hAnsi="Arial" w:cs="Arial"/>
                <w:sz w:val="16"/>
                <w:szCs w:val="18"/>
              </w:rPr>
              <w:t>FFS: reference SCS, i.e. serving cell and/or target cell</w:t>
            </w:r>
          </w:p>
          <w:p w14:paraId="2C837E9B" w14:textId="77777777" w:rsidR="008347BE" w:rsidRPr="00262A22" w:rsidRDefault="008347BE" w:rsidP="00A7593E">
            <w:pPr>
              <w:pStyle w:val="ListParagraph"/>
              <w:numPr>
                <w:ilvl w:val="1"/>
                <w:numId w:val="32"/>
              </w:numPr>
              <w:snapToGrid w:val="0"/>
              <w:contextualSpacing w:val="0"/>
              <w:jc w:val="both"/>
              <w:rPr>
                <w:rFonts w:ascii="Arial" w:hAnsi="Arial" w:cs="Arial"/>
                <w:sz w:val="16"/>
                <w:szCs w:val="18"/>
              </w:rPr>
            </w:pPr>
            <w:r w:rsidRPr="00262A22">
              <w:rPr>
                <w:rFonts w:ascii="Arial" w:hAnsi="Arial" w:cs="Arial"/>
                <w:sz w:val="16"/>
                <w:szCs w:val="18"/>
              </w:rPr>
              <w:t>At least the following components are further studied to define the beam application time</w:t>
            </w:r>
          </w:p>
          <w:p w14:paraId="4B9CD14E" w14:textId="77777777" w:rsidR="008347BE" w:rsidRPr="00262A22" w:rsidRDefault="008347BE" w:rsidP="00A7593E">
            <w:pPr>
              <w:pStyle w:val="ListParagraph"/>
              <w:numPr>
                <w:ilvl w:val="2"/>
                <w:numId w:val="32"/>
              </w:numPr>
              <w:snapToGrid w:val="0"/>
              <w:contextualSpacing w:val="0"/>
              <w:jc w:val="both"/>
              <w:rPr>
                <w:rFonts w:ascii="Arial" w:hAnsi="Arial" w:cs="Arial"/>
                <w:sz w:val="16"/>
                <w:szCs w:val="18"/>
              </w:rPr>
            </w:pPr>
            <w:r w:rsidRPr="00262A22">
              <w:rPr>
                <w:rFonts w:ascii="Arial" w:hAnsi="Arial" w:cs="Arial"/>
                <w:sz w:val="16"/>
                <w:szCs w:val="18"/>
              </w:rPr>
              <w:t>Whether TCI state activation is received before/together with cell switch command</w:t>
            </w:r>
          </w:p>
          <w:p w14:paraId="5A1684BC" w14:textId="77777777" w:rsidR="008347BE" w:rsidRPr="00262A22" w:rsidRDefault="008347BE" w:rsidP="00A7593E">
            <w:pPr>
              <w:pStyle w:val="ListParagraph"/>
              <w:numPr>
                <w:ilvl w:val="2"/>
                <w:numId w:val="32"/>
              </w:numPr>
              <w:snapToGrid w:val="0"/>
              <w:contextualSpacing w:val="0"/>
              <w:jc w:val="both"/>
              <w:rPr>
                <w:rFonts w:ascii="Arial" w:hAnsi="Arial" w:cs="Arial"/>
                <w:sz w:val="16"/>
                <w:szCs w:val="18"/>
              </w:rPr>
            </w:pPr>
            <w:r w:rsidRPr="00262A22">
              <w:rPr>
                <w:rFonts w:ascii="Arial" w:hAnsi="Arial" w:cs="Arial"/>
                <w:iCs/>
                <w:sz w:val="16"/>
                <w:szCs w:val="18"/>
              </w:rPr>
              <w:t xml:space="preserve">Legacy values, i.e. </w:t>
            </w:r>
            <w:r w:rsidRPr="00262A22">
              <w:rPr>
                <w:rFonts w:ascii="Arial" w:hAnsi="Arial" w:cs="Arial"/>
                <w:iCs/>
                <w:sz w:val="16"/>
                <w:szCs w:val="18"/>
              </w:rPr>
              <w:fldChar w:fldCharType="begin"/>
            </w:r>
            <w:r w:rsidRPr="00262A22">
              <w:rPr>
                <w:rFonts w:ascii="Arial" w:hAnsi="Arial" w:cs="Arial"/>
                <w:iCs/>
                <w:sz w:val="16"/>
                <w:szCs w:val="18"/>
              </w:rPr>
              <w:instrText xml:space="preserve"> QUOTE </w:instrText>
            </w:r>
            <w:r w:rsidR="00000000">
              <w:rPr>
                <w:rFonts w:ascii="Arial" w:hAnsi="Arial" w:cs="Arial"/>
                <w:position w:val="-6"/>
                <w:sz w:val="16"/>
                <w:szCs w:val="18"/>
              </w:rPr>
              <w:pict w14:anchorId="798F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4.4pt" equationxml="&lt;">
                  <v:imagedata r:id="rId13" o:title="" chromakey="white"/>
                </v:shape>
              </w:pict>
            </w:r>
            <w:r w:rsidRPr="00262A22">
              <w:rPr>
                <w:rFonts w:ascii="Arial" w:hAnsi="Arial" w:cs="Arial"/>
                <w:iCs/>
                <w:sz w:val="16"/>
                <w:szCs w:val="18"/>
              </w:rPr>
              <w:instrText xml:space="preserve"> </w:instrText>
            </w:r>
            <w:r w:rsidRPr="00262A22">
              <w:rPr>
                <w:rFonts w:ascii="Arial" w:hAnsi="Arial" w:cs="Arial"/>
                <w:iCs/>
                <w:sz w:val="16"/>
                <w:szCs w:val="18"/>
              </w:rPr>
              <w:fldChar w:fldCharType="separate"/>
            </w:r>
            <w:r w:rsidR="00000000">
              <w:rPr>
                <w:rFonts w:ascii="Arial" w:hAnsi="Arial" w:cs="Arial"/>
                <w:position w:val="-6"/>
                <w:sz w:val="16"/>
                <w:szCs w:val="18"/>
              </w:rPr>
              <w:pict w14:anchorId="130FB4F9">
                <v:shape id="_x0000_i1026" type="#_x0000_t75" style="width:53.85pt;height:14.4pt" equationxml="&lt;">
                  <v:imagedata r:id="rId13" o:title="" chromakey="white"/>
                </v:shape>
              </w:pict>
            </w:r>
            <w:r w:rsidRPr="00262A22">
              <w:rPr>
                <w:rFonts w:ascii="Arial" w:hAnsi="Arial" w:cs="Arial"/>
                <w:iCs/>
                <w:sz w:val="16"/>
                <w:szCs w:val="18"/>
              </w:rPr>
              <w:fldChar w:fldCharType="end"/>
            </w:r>
            <w:r w:rsidRPr="00262A22">
              <w:rPr>
                <w:rFonts w:ascii="Arial" w:hAnsi="Arial" w:cs="Arial"/>
                <w:iCs/>
                <w:sz w:val="16"/>
                <w:szCs w:val="18"/>
              </w:rPr>
              <w:t xml:space="preserve"> and BeamAppTime-r17</w:t>
            </w:r>
          </w:p>
          <w:p w14:paraId="2CEF139D" w14:textId="77777777" w:rsidR="008347BE" w:rsidRPr="00262A22" w:rsidRDefault="008347BE" w:rsidP="00A7593E">
            <w:pPr>
              <w:pStyle w:val="ListParagraph"/>
              <w:numPr>
                <w:ilvl w:val="2"/>
                <w:numId w:val="32"/>
              </w:numPr>
              <w:snapToGrid w:val="0"/>
              <w:contextualSpacing w:val="0"/>
              <w:jc w:val="both"/>
              <w:rPr>
                <w:rFonts w:ascii="Arial" w:hAnsi="Arial" w:cs="Arial"/>
                <w:sz w:val="16"/>
                <w:szCs w:val="18"/>
              </w:rPr>
            </w:pPr>
            <w:r w:rsidRPr="00262A22">
              <w:rPr>
                <w:rFonts w:ascii="Arial" w:hAnsi="Arial" w:cs="Arial"/>
                <w:bCs/>
                <w:iCs/>
                <w:sz w:val="16"/>
                <w:szCs w:val="18"/>
              </w:rPr>
              <w:t>RF retuning time when inter-frequency switch is performed, which is up to RAN4</w:t>
            </w:r>
          </w:p>
          <w:p w14:paraId="6AD0366A" w14:textId="77777777" w:rsidR="008347BE" w:rsidRPr="00262A22" w:rsidRDefault="008347BE" w:rsidP="00A7593E">
            <w:pPr>
              <w:pStyle w:val="ListParagraph"/>
              <w:numPr>
                <w:ilvl w:val="2"/>
                <w:numId w:val="32"/>
              </w:numPr>
              <w:snapToGrid w:val="0"/>
              <w:contextualSpacing w:val="0"/>
              <w:jc w:val="both"/>
              <w:rPr>
                <w:rFonts w:ascii="Arial" w:hAnsi="Arial" w:cs="Arial"/>
                <w:sz w:val="16"/>
                <w:szCs w:val="18"/>
              </w:rPr>
            </w:pPr>
            <w:r w:rsidRPr="00262A22">
              <w:rPr>
                <w:rFonts w:ascii="Arial" w:hAnsi="Arial" w:cs="Arial"/>
                <w:bCs/>
                <w:iCs/>
                <w:sz w:val="16"/>
                <w:szCs w:val="18"/>
              </w:rPr>
              <w:t>Whether the target cell is one of the current serving cells</w:t>
            </w:r>
          </w:p>
          <w:p w14:paraId="50C46C2E" w14:textId="77777777" w:rsidR="008347BE" w:rsidRPr="00262A22" w:rsidRDefault="008347BE" w:rsidP="00A7593E">
            <w:pPr>
              <w:pStyle w:val="ListParagraph"/>
              <w:numPr>
                <w:ilvl w:val="0"/>
                <w:numId w:val="32"/>
              </w:numPr>
              <w:snapToGrid w:val="0"/>
              <w:contextualSpacing w:val="0"/>
              <w:jc w:val="both"/>
              <w:rPr>
                <w:rFonts w:ascii="Arial" w:hAnsi="Arial" w:cs="Arial"/>
                <w:sz w:val="16"/>
                <w:szCs w:val="18"/>
              </w:rPr>
            </w:pPr>
            <w:r w:rsidRPr="00262A22">
              <w:rPr>
                <w:rFonts w:ascii="Arial" w:hAnsi="Arial" w:cs="Arial"/>
                <w:sz w:val="16"/>
                <w:szCs w:val="18"/>
              </w:rPr>
              <w:t xml:space="preserve">Cell switching time, which is defined by RAN2 and RAN4, may or may not include the potential components of beam application time above. </w:t>
            </w:r>
          </w:p>
          <w:p w14:paraId="1A76FB4D" w14:textId="77777777" w:rsidR="008347BE" w:rsidRPr="00262A22" w:rsidRDefault="008347BE" w:rsidP="00A7593E">
            <w:pPr>
              <w:pStyle w:val="Header"/>
              <w:rPr>
                <w:rFonts w:ascii="Arial" w:hAnsi="Arial" w:cs="Arial"/>
                <w:bCs/>
                <w:sz w:val="16"/>
                <w:szCs w:val="18"/>
                <w:highlight w:val="yellow"/>
                <w:lang w:eastAsia="ja-JP"/>
              </w:rPr>
            </w:pPr>
          </w:p>
          <w:p w14:paraId="61938399" w14:textId="77777777" w:rsidR="008347BE" w:rsidRPr="00262A22" w:rsidRDefault="008347BE" w:rsidP="00A7593E">
            <w:pPr>
              <w:pStyle w:val="Header"/>
              <w:rPr>
                <w:rFonts w:ascii="Arial" w:hAnsi="Arial" w:cs="Arial"/>
                <w:bCs/>
                <w:sz w:val="16"/>
                <w:szCs w:val="18"/>
                <w:lang w:eastAsia="ja-JP"/>
              </w:rPr>
            </w:pPr>
            <w:r w:rsidRPr="00262A22">
              <w:rPr>
                <w:rFonts w:ascii="Arial" w:hAnsi="Arial" w:cs="Arial"/>
                <w:bCs/>
                <w:sz w:val="16"/>
                <w:szCs w:val="18"/>
                <w:lang w:eastAsia="ja-JP"/>
              </w:rPr>
              <w:t>RAN1 respectfully asks RAN2 and RAN4 to provide their feedback to complete the RAN1 work on beam switching time for LTM.</w:t>
            </w:r>
          </w:p>
          <w:p w14:paraId="732C817C" w14:textId="77777777" w:rsidR="008347BE" w:rsidRDefault="008347BE" w:rsidP="00A7593E">
            <w:pPr>
              <w:rPr>
                <w:lang w:val="en-GB" w:eastAsia="en-GB"/>
              </w:rPr>
            </w:pPr>
          </w:p>
        </w:tc>
      </w:tr>
    </w:tbl>
    <w:p w14:paraId="54A2832F" w14:textId="77777777" w:rsidR="008347BE" w:rsidRDefault="008347BE" w:rsidP="005C23A4"/>
    <w:p w14:paraId="797DFBD7" w14:textId="56062A3F" w:rsidR="008347BE" w:rsidRPr="008C39F7" w:rsidRDefault="008347BE" w:rsidP="005C23A4">
      <w:r>
        <w:t>In this contribution we discuss the LS response to RAN1 regarding this part of the LS.</w:t>
      </w:r>
    </w:p>
    <w:p w14:paraId="753976BA" w14:textId="059F6824" w:rsidR="00EF006F" w:rsidRPr="00F33EB8" w:rsidRDefault="008347BE" w:rsidP="00EF006F">
      <w:pPr>
        <w:pStyle w:val="RAN4H1"/>
        <w:jc w:val="both"/>
      </w:pPr>
      <w:r>
        <w:t>TCI state activation and indication baseline in LTM</w:t>
      </w:r>
    </w:p>
    <w:p w14:paraId="388CAF8A" w14:textId="458F9B7D" w:rsidR="00EF006F" w:rsidRPr="00F33EB8" w:rsidRDefault="00EF006F" w:rsidP="00EF006F">
      <w:pPr>
        <w:rPr>
          <w:szCs w:val="20"/>
        </w:rPr>
      </w:pPr>
      <w:r w:rsidRPr="00F33EB8">
        <w:rPr>
          <w:szCs w:val="20"/>
        </w:rPr>
        <w:t xml:space="preserve">RAN1 has agreed that unified TCI framework is used </w:t>
      </w:r>
      <w:r>
        <w:rPr>
          <w:szCs w:val="20"/>
        </w:rPr>
        <w:t xml:space="preserve">for indicating the target beam </w:t>
      </w:r>
      <w:r w:rsidRPr="00F33EB8">
        <w:rPr>
          <w:szCs w:val="20"/>
        </w:rPr>
        <w:t xml:space="preserve">for LTM. </w:t>
      </w:r>
    </w:p>
    <w:p w14:paraId="47D3EED7" w14:textId="77777777" w:rsidR="00EF006F" w:rsidRPr="00F33EB8" w:rsidRDefault="00EF006F" w:rsidP="00EF006F">
      <w:pPr>
        <w:rPr>
          <w:szCs w:val="20"/>
        </w:rPr>
      </w:pPr>
      <w:r w:rsidRPr="00F33EB8">
        <w:rPr>
          <w:szCs w:val="20"/>
        </w:rPr>
        <w:t>In unified TCI framework, the procedure consists of the following steps:</w:t>
      </w:r>
    </w:p>
    <w:p w14:paraId="287E865F" w14:textId="77777777" w:rsidR="00EF006F" w:rsidRPr="00F33EB8" w:rsidRDefault="00EF006F" w:rsidP="00EF006F">
      <w:pPr>
        <w:pStyle w:val="ListParagraph"/>
        <w:numPr>
          <w:ilvl w:val="0"/>
          <w:numId w:val="28"/>
        </w:numPr>
        <w:spacing w:after="0" w:line="240" w:lineRule="auto"/>
        <w:rPr>
          <w:szCs w:val="20"/>
        </w:rPr>
      </w:pPr>
      <w:r w:rsidRPr="00F33EB8">
        <w:rPr>
          <w:szCs w:val="20"/>
        </w:rPr>
        <w:t>RRC-based configuration of TCI states (joint UL/DL TCI states or separate UL and DL TCI states)</w:t>
      </w:r>
    </w:p>
    <w:p w14:paraId="18F5C34E" w14:textId="77777777" w:rsidR="00EF006F" w:rsidRDefault="00EF006F" w:rsidP="00EF006F">
      <w:pPr>
        <w:pStyle w:val="ListParagraph"/>
        <w:numPr>
          <w:ilvl w:val="0"/>
          <w:numId w:val="28"/>
        </w:numPr>
        <w:spacing w:after="0" w:line="240" w:lineRule="auto"/>
        <w:rPr>
          <w:szCs w:val="20"/>
        </w:rPr>
      </w:pPr>
      <w:r w:rsidRPr="00F33EB8">
        <w:rPr>
          <w:szCs w:val="20"/>
        </w:rPr>
        <w:t xml:space="preserve">MAC-CE based activation of up to 8 </w:t>
      </w:r>
      <w:r>
        <w:rPr>
          <w:szCs w:val="20"/>
        </w:rPr>
        <w:t xml:space="preserve">joint UL/DL </w:t>
      </w:r>
      <w:r w:rsidRPr="00F33EB8">
        <w:rPr>
          <w:szCs w:val="20"/>
        </w:rPr>
        <w:t>TCI states</w:t>
      </w:r>
      <w:r>
        <w:rPr>
          <w:szCs w:val="20"/>
        </w:rPr>
        <w:t xml:space="preserve"> or separate UL and DL TCI states</w:t>
      </w:r>
    </w:p>
    <w:p w14:paraId="2752442E" w14:textId="35CBAB1A" w:rsidR="00EF006F" w:rsidRDefault="00682ABF" w:rsidP="00EF006F">
      <w:pPr>
        <w:pStyle w:val="ListParagraph"/>
        <w:numPr>
          <w:ilvl w:val="1"/>
          <w:numId w:val="28"/>
        </w:numPr>
        <w:spacing w:after="0" w:line="240" w:lineRule="auto"/>
        <w:rPr>
          <w:szCs w:val="20"/>
        </w:rPr>
      </w:pPr>
      <w:r>
        <w:rPr>
          <w:szCs w:val="20"/>
        </w:rPr>
        <w:t>RAN4 requirements f</w:t>
      </w:r>
      <w:r w:rsidR="00EF006F">
        <w:rPr>
          <w:szCs w:val="20"/>
        </w:rPr>
        <w:t>or activation of a single joint UL/DL or separate UL and DL TCI states:</w:t>
      </w:r>
    </w:p>
    <w:p w14:paraId="1A0E5F12" w14:textId="77777777" w:rsidR="00EF006F" w:rsidRPr="003B2B6D" w:rsidRDefault="00EF006F" w:rsidP="00EF006F">
      <w:pPr>
        <w:pStyle w:val="ListParagraph"/>
        <w:numPr>
          <w:ilvl w:val="2"/>
          <w:numId w:val="28"/>
        </w:numPr>
        <w:spacing w:after="0" w:line="240" w:lineRule="auto"/>
        <w:rPr>
          <w:i/>
          <w:iCs/>
          <w:szCs w:val="20"/>
        </w:rPr>
      </w:pPr>
      <w:r w:rsidRPr="003B2B6D">
        <w:rPr>
          <w:i/>
          <w:iCs/>
          <w:szCs w:val="20"/>
        </w:rPr>
        <w:t>8.15.3</w:t>
      </w:r>
      <w:r w:rsidRPr="003B2B6D">
        <w:rPr>
          <w:i/>
          <w:iCs/>
          <w:szCs w:val="20"/>
        </w:rPr>
        <w:tab/>
        <w:t>MAC-CE based downlink TCI state switch delay</w:t>
      </w:r>
    </w:p>
    <w:p w14:paraId="3461FE85" w14:textId="77777777" w:rsidR="00EF006F" w:rsidRPr="003B2B6D" w:rsidRDefault="00EF006F" w:rsidP="00EF006F">
      <w:pPr>
        <w:pStyle w:val="ListParagraph"/>
        <w:numPr>
          <w:ilvl w:val="2"/>
          <w:numId w:val="28"/>
        </w:numPr>
        <w:spacing w:after="0" w:line="240" w:lineRule="auto"/>
        <w:rPr>
          <w:i/>
          <w:iCs/>
          <w:szCs w:val="20"/>
        </w:rPr>
      </w:pPr>
      <w:r w:rsidRPr="003B2B6D">
        <w:rPr>
          <w:i/>
          <w:iCs/>
          <w:szCs w:val="20"/>
        </w:rPr>
        <w:t>8.16.3</w:t>
      </w:r>
      <w:r w:rsidRPr="003B2B6D">
        <w:rPr>
          <w:i/>
          <w:iCs/>
          <w:szCs w:val="20"/>
        </w:rPr>
        <w:tab/>
        <w:t>MAC-CE based uplink TCI state switch delay</w:t>
      </w:r>
    </w:p>
    <w:p w14:paraId="2E6E0B03" w14:textId="1F0CA861" w:rsidR="00EF006F" w:rsidRDefault="00682ABF" w:rsidP="00EF006F">
      <w:pPr>
        <w:pStyle w:val="ListParagraph"/>
        <w:numPr>
          <w:ilvl w:val="1"/>
          <w:numId w:val="28"/>
        </w:numPr>
        <w:spacing w:after="0" w:line="240" w:lineRule="auto"/>
        <w:rPr>
          <w:szCs w:val="20"/>
        </w:rPr>
      </w:pPr>
      <w:r>
        <w:rPr>
          <w:szCs w:val="20"/>
        </w:rPr>
        <w:t>RAN4 requirements f</w:t>
      </w:r>
      <w:r w:rsidR="00EF006F">
        <w:rPr>
          <w:szCs w:val="20"/>
        </w:rPr>
        <w:t>or activation of more than one joint UL/DL state or separate UL and DL TCI states</w:t>
      </w:r>
    </w:p>
    <w:p w14:paraId="4EA92BA2" w14:textId="77777777" w:rsidR="00EF006F" w:rsidRPr="003B2B6D" w:rsidRDefault="00EF006F" w:rsidP="00EF006F">
      <w:pPr>
        <w:pStyle w:val="ListParagraph"/>
        <w:numPr>
          <w:ilvl w:val="2"/>
          <w:numId w:val="28"/>
        </w:numPr>
        <w:spacing w:after="0" w:line="240" w:lineRule="auto"/>
        <w:rPr>
          <w:i/>
          <w:iCs/>
          <w:szCs w:val="20"/>
        </w:rPr>
      </w:pPr>
      <w:r w:rsidRPr="003B2B6D">
        <w:rPr>
          <w:i/>
          <w:iCs/>
          <w:szCs w:val="20"/>
        </w:rPr>
        <w:t>8.15.5</w:t>
      </w:r>
      <w:r w:rsidRPr="003B2B6D">
        <w:rPr>
          <w:i/>
          <w:iCs/>
          <w:szCs w:val="20"/>
        </w:rPr>
        <w:tab/>
        <w:t>Active Downlink TCI state list update delay</w:t>
      </w:r>
    </w:p>
    <w:p w14:paraId="4AFBD2DF" w14:textId="77777777" w:rsidR="00EF006F" w:rsidRPr="003B2B6D" w:rsidRDefault="00EF006F" w:rsidP="00EF006F">
      <w:pPr>
        <w:pStyle w:val="ListParagraph"/>
        <w:numPr>
          <w:ilvl w:val="2"/>
          <w:numId w:val="28"/>
        </w:numPr>
        <w:spacing w:after="0" w:line="240" w:lineRule="auto"/>
        <w:rPr>
          <w:i/>
          <w:iCs/>
          <w:szCs w:val="20"/>
        </w:rPr>
      </w:pPr>
      <w:r w:rsidRPr="003B2B6D">
        <w:rPr>
          <w:i/>
          <w:iCs/>
          <w:szCs w:val="20"/>
        </w:rPr>
        <w:t>8.16.5</w:t>
      </w:r>
      <w:r w:rsidRPr="003B2B6D">
        <w:rPr>
          <w:i/>
          <w:iCs/>
          <w:szCs w:val="20"/>
        </w:rPr>
        <w:tab/>
        <w:t>Active Uplink TCI state list update delay</w:t>
      </w:r>
    </w:p>
    <w:p w14:paraId="39D599DE" w14:textId="77777777" w:rsidR="00EF006F" w:rsidRDefault="00EF006F" w:rsidP="00EF006F">
      <w:pPr>
        <w:pStyle w:val="ListParagraph"/>
        <w:numPr>
          <w:ilvl w:val="0"/>
          <w:numId w:val="28"/>
        </w:numPr>
        <w:spacing w:after="0" w:line="240" w:lineRule="auto"/>
        <w:rPr>
          <w:szCs w:val="20"/>
        </w:rPr>
      </w:pPr>
      <w:r w:rsidRPr="00F33EB8">
        <w:rPr>
          <w:szCs w:val="20"/>
        </w:rPr>
        <w:t xml:space="preserve">DCI-based indication of a single </w:t>
      </w:r>
      <w:r>
        <w:rPr>
          <w:szCs w:val="20"/>
        </w:rPr>
        <w:t xml:space="preserve">joint UL/DL </w:t>
      </w:r>
      <w:r w:rsidRPr="00F33EB8">
        <w:rPr>
          <w:szCs w:val="20"/>
        </w:rPr>
        <w:t>TCI state</w:t>
      </w:r>
      <w:r>
        <w:rPr>
          <w:szCs w:val="20"/>
        </w:rPr>
        <w:t xml:space="preserve"> or a pair of UL and DL TCI states</w:t>
      </w:r>
    </w:p>
    <w:p w14:paraId="0FCBFD7F" w14:textId="41D6CCC7" w:rsidR="003B2B6D" w:rsidRDefault="003B2B6D" w:rsidP="003B2B6D">
      <w:pPr>
        <w:pStyle w:val="ListParagraph"/>
        <w:numPr>
          <w:ilvl w:val="1"/>
          <w:numId w:val="28"/>
        </w:numPr>
        <w:spacing w:after="0" w:line="240" w:lineRule="auto"/>
        <w:rPr>
          <w:szCs w:val="20"/>
        </w:rPr>
      </w:pPr>
      <w:r>
        <w:rPr>
          <w:szCs w:val="20"/>
        </w:rPr>
        <w:t>RAN4 requirements:</w:t>
      </w:r>
    </w:p>
    <w:p w14:paraId="527C9FDB" w14:textId="77777777" w:rsidR="00EF006F" w:rsidRPr="003B2B6D" w:rsidRDefault="00EF006F" w:rsidP="003B2B6D">
      <w:pPr>
        <w:pStyle w:val="ListParagraph"/>
        <w:numPr>
          <w:ilvl w:val="2"/>
          <w:numId w:val="28"/>
        </w:numPr>
        <w:spacing w:after="0" w:line="240" w:lineRule="auto"/>
        <w:rPr>
          <w:i/>
          <w:iCs/>
          <w:szCs w:val="20"/>
        </w:rPr>
      </w:pPr>
      <w:r w:rsidRPr="003B2B6D">
        <w:rPr>
          <w:i/>
          <w:iCs/>
          <w:szCs w:val="20"/>
        </w:rPr>
        <w:t>8.15.4</w:t>
      </w:r>
      <w:r w:rsidRPr="003B2B6D">
        <w:rPr>
          <w:i/>
          <w:iCs/>
          <w:szCs w:val="20"/>
        </w:rPr>
        <w:tab/>
        <w:t>DCI based downlink TCI state switch delay</w:t>
      </w:r>
    </w:p>
    <w:p w14:paraId="120D75F8" w14:textId="77777777" w:rsidR="00EF006F" w:rsidRPr="003B2B6D" w:rsidRDefault="00EF006F" w:rsidP="003B2B6D">
      <w:pPr>
        <w:pStyle w:val="ListParagraph"/>
        <w:numPr>
          <w:ilvl w:val="2"/>
          <w:numId w:val="28"/>
        </w:numPr>
        <w:spacing w:after="0" w:line="240" w:lineRule="auto"/>
        <w:rPr>
          <w:i/>
          <w:iCs/>
          <w:szCs w:val="20"/>
        </w:rPr>
      </w:pPr>
      <w:r w:rsidRPr="003B2B6D">
        <w:rPr>
          <w:i/>
          <w:iCs/>
          <w:szCs w:val="20"/>
        </w:rPr>
        <w:t>8.16.4</w:t>
      </w:r>
      <w:r w:rsidRPr="003B2B6D">
        <w:rPr>
          <w:i/>
          <w:iCs/>
          <w:szCs w:val="20"/>
        </w:rPr>
        <w:tab/>
        <w:t>DCI based uplink TCI state switch delay</w:t>
      </w:r>
    </w:p>
    <w:p w14:paraId="297363AB" w14:textId="77777777" w:rsidR="00EF006F" w:rsidRDefault="00EF006F" w:rsidP="00EF006F">
      <w:pPr>
        <w:rPr>
          <w:szCs w:val="20"/>
        </w:rPr>
      </w:pPr>
    </w:p>
    <w:p w14:paraId="4AC34FEB" w14:textId="77777777" w:rsidR="00EF006F" w:rsidRDefault="00EF006F" w:rsidP="00EF006F">
      <w:pPr>
        <w:rPr>
          <w:szCs w:val="20"/>
        </w:rPr>
      </w:pPr>
      <w:r w:rsidRPr="00F33EB8">
        <w:rPr>
          <w:szCs w:val="20"/>
        </w:rPr>
        <w:lastRenderedPageBreak/>
        <w:t xml:space="preserve">According to RAN1/RAN2 agreements, TCI state </w:t>
      </w:r>
      <w:r w:rsidRPr="00F33EB8">
        <w:rPr>
          <w:i/>
          <w:szCs w:val="20"/>
        </w:rPr>
        <w:t>activation</w:t>
      </w:r>
      <w:r w:rsidRPr="00F33EB8">
        <w:rPr>
          <w:szCs w:val="20"/>
        </w:rPr>
        <w:t xml:space="preserve"> can </w:t>
      </w:r>
      <w:r w:rsidRPr="00F33EB8">
        <w:rPr>
          <w:iCs/>
          <w:szCs w:val="20"/>
        </w:rPr>
        <w:t>be either done</w:t>
      </w:r>
      <w:r w:rsidRPr="00F33EB8">
        <w:rPr>
          <w:szCs w:val="20"/>
        </w:rPr>
        <w:t xml:space="preserve"> before the cell switch command with a separate MAC</w:t>
      </w:r>
      <w:r>
        <w:rPr>
          <w:szCs w:val="20"/>
        </w:rPr>
        <w:t>-</w:t>
      </w:r>
      <w:r w:rsidRPr="00F33EB8">
        <w:rPr>
          <w:szCs w:val="20"/>
        </w:rPr>
        <w:t>CE</w:t>
      </w:r>
      <w:r>
        <w:rPr>
          <w:szCs w:val="20"/>
        </w:rPr>
        <w:t xml:space="preserve"> </w:t>
      </w:r>
      <w:r w:rsidRPr="00F33EB8">
        <w:rPr>
          <w:szCs w:val="20"/>
        </w:rPr>
        <w:t xml:space="preserve">for </w:t>
      </w:r>
      <w:r>
        <w:rPr>
          <w:szCs w:val="20"/>
        </w:rPr>
        <w:t>a candidate cell</w:t>
      </w:r>
      <w:r w:rsidRPr="00F33EB8">
        <w:rPr>
          <w:szCs w:val="20"/>
        </w:rPr>
        <w:t xml:space="preserve"> </w:t>
      </w:r>
      <w:r>
        <w:rPr>
          <w:szCs w:val="20"/>
        </w:rPr>
        <w:t xml:space="preserve">or </w:t>
      </w:r>
      <w:r w:rsidRPr="00F33EB8">
        <w:rPr>
          <w:szCs w:val="20"/>
        </w:rPr>
        <w:t>at the cell switch command</w:t>
      </w:r>
      <w:r>
        <w:rPr>
          <w:szCs w:val="20"/>
        </w:rPr>
        <w:t xml:space="preserve"> for the target cell</w:t>
      </w:r>
      <w:r w:rsidRPr="00F33EB8">
        <w:rPr>
          <w:szCs w:val="20"/>
        </w:rPr>
        <w:t xml:space="preserve">. </w:t>
      </w:r>
    </w:p>
    <w:p w14:paraId="41DDB812" w14:textId="77777777" w:rsidR="00EF006F" w:rsidRDefault="00EF006F" w:rsidP="00EF006F">
      <w:pPr>
        <w:pStyle w:val="RAN4observation0"/>
        <w:jc w:val="both"/>
      </w:pPr>
      <w:bookmarkStart w:id="1" w:name="_Toc142663273"/>
      <w:r>
        <w:t xml:space="preserve">In LTM, </w:t>
      </w:r>
      <w:r w:rsidRPr="00F33EB8">
        <w:t>TCI state activation can be done either with a separate MAC CE before the cell switch command or at the cell switch command.</w:t>
      </w:r>
      <w:bookmarkEnd w:id="1"/>
    </w:p>
    <w:p w14:paraId="71EB723D" w14:textId="7D330703" w:rsidR="00EF006F" w:rsidRPr="00F33EB8" w:rsidRDefault="00EF006F" w:rsidP="00EF006F">
      <w:pPr>
        <w:rPr>
          <w:szCs w:val="20"/>
        </w:rPr>
      </w:pPr>
      <w:r w:rsidRPr="00F33EB8">
        <w:rPr>
          <w:szCs w:val="20"/>
        </w:rPr>
        <w:t xml:space="preserve">Instead of indicating the TCI state in DCI, TCI state </w:t>
      </w:r>
      <w:r w:rsidRPr="00F33EB8">
        <w:rPr>
          <w:i/>
          <w:iCs/>
          <w:szCs w:val="20"/>
        </w:rPr>
        <w:t>indication</w:t>
      </w:r>
      <w:r w:rsidRPr="00F33EB8">
        <w:rPr>
          <w:szCs w:val="20"/>
        </w:rPr>
        <w:t xml:space="preserve"> in LTM is done at the cell switch command, which is a MAC CE message.</w:t>
      </w:r>
      <w:r w:rsidR="000840E0">
        <w:rPr>
          <w:szCs w:val="20"/>
        </w:rPr>
        <w:t xml:space="preserve"> TCI state indication at the cell switch command is done either together with TCI state activation or </w:t>
      </w:r>
      <w:r w:rsidR="009B3430">
        <w:rPr>
          <w:szCs w:val="20"/>
        </w:rPr>
        <w:t xml:space="preserve">alone </w:t>
      </w:r>
      <w:r w:rsidR="00846A36">
        <w:rPr>
          <w:szCs w:val="20"/>
        </w:rPr>
        <w:t>for a</w:t>
      </w:r>
      <w:r w:rsidR="000840E0">
        <w:rPr>
          <w:szCs w:val="20"/>
        </w:rPr>
        <w:t xml:space="preserve"> TCI state that was activated before the cell switch command</w:t>
      </w:r>
      <w:r w:rsidR="00846A36">
        <w:rPr>
          <w:szCs w:val="20"/>
        </w:rPr>
        <w:t>.</w:t>
      </w:r>
    </w:p>
    <w:p w14:paraId="708A76FB" w14:textId="77777777" w:rsidR="00EF006F" w:rsidRPr="00F33EB8" w:rsidRDefault="00EF006F" w:rsidP="00EF006F">
      <w:pPr>
        <w:pStyle w:val="RAN4observation0"/>
        <w:jc w:val="both"/>
      </w:pPr>
      <w:bookmarkStart w:id="2" w:name="_Toc142663274"/>
      <w:r>
        <w:t xml:space="preserve">In LTM, </w:t>
      </w:r>
      <w:r w:rsidRPr="00F33EB8">
        <w:t>TCI state indication is done at the cell switch command, which is a MAC</w:t>
      </w:r>
      <w:r>
        <w:t>-</w:t>
      </w:r>
      <w:r w:rsidRPr="00F33EB8">
        <w:t>CE</w:t>
      </w:r>
      <w:r>
        <w:t xml:space="preserve"> command (not DCI as in legacy)</w:t>
      </w:r>
      <w:r w:rsidRPr="00F33EB8">
        <w:t>.</w:t>
      </w:r>
      <w:bookmarkEnd w:id="2"/>
    </w:p>
    <w:p w14:paraId="49C488C7" w14:textId="0C4EE8D4" w:rsidR="00EF006F" w:rsidRDefault="00EF006F" w:rsidP="00EF006F">
      <w:pPr>
        <w:rPr>
          <w:lang w:val="en-GB" w:eastAsia="en-GB"/>
        </w:rPr>
      </w:pPr>
      <w:r>
        <w:rPr>
          <w:szCs w:val="20"/>
        </w:rPr>
        <w:t xml:space="preserve">When TCI state indication </w:t>
      </w:r>
      <w:r w:rsidR="00F54298">
        <w:rPr>
          <w:szCs w:val="20"/>
        </w:rPr>
        <w:t>(</w:t>
      </w:r>
      <w:r>
        <w:rPr>
          <w:szCs w:val="20"/>
        </w:rPr>
        <w:t>and activation</w:t>
      </w:r>
      <w:r w:rsidR="00F54298">
        <w:rPr>
          <w:szCs w:val="20"/>
        </w:rPr>
        <w:t>)</w:t>
      </w:r>
      <w:r>
        <w:rPr>
          <w:szCs w:val="20"/>
        </w:rPr>
        <w:t xml:space="preserve"> is done at the cell switch command, a </w:t>
      </w:r>
      <w:r w:rsidRPr="00244641">
        <w:rPr>
          <w:szCs w:val="20"/>
        </w:rPr>
        <w:t>single joint TCI state or a pair of UL/DL TCI state</w:t>
      </w:r>
      <w:r>
        <w:rPr>
          <w:szCs w:val="20"/>
        </w:rPr>
        <w:t>s</w:t>
      </w:r>
      <w:r w:rsidRPr="00244641">
        <w:rPr>
          <w:szCs w:val="20"/>
        </w:rPr>
        <w:t xml:space="preserve"> </w:t>
      </w:r>
      <w:r>
        <w:rPr>
          <w:szCs w:val="20"/>
        </w:rPr>
        <w:t xml:space="preserve">is </w:t>
      </w:r>
      <w:r w:rsidR="00F54298">
        <w:rPr>
          <w:szCs w:val="20"/>
        </w:rPr>
        <w:t>indicated/</w:t>
      </w:r>
      <w:r>
        <w:rPr>
          <w:szCs w:val="20"/>
        </w:rPr>
        <w:t>activated.</w:t>
      </w:r>
      <w:r w:rsidR="006D2CE5">
        <w:rPr>
          <w:lang w:val="en-GB" w:eastAsia="en-GB"/>
        </w:rPr>
        <w:t xml:space="preserve"> </w:t>
      </w:r>
      <w:r>
        <w:rPr>
          <w:lang w:val="en-GB" w:eastAsia="en-GB"/>
        </w:rPr>
        <w:t xml:space="preserve">The </w:t>
      </w:r>
      <w:r w:rsidR="00C02F8C">
        <w:rPr>
          <w:lang w:val="en-GB" w:eastAsia="en-GB"/>
        </w:rPr>
        <w:t xml:space="preserve">legacy </w:t>
      </w:r>
      <w:r>
        <w:rPr>
          <w:lang w:val="en-GB" w:eastAsia="en-GB"/>
        </w:rPr>
        <w:t xml:space="preserve">delay for DCI-based TCI state switch </w:t>
      </w:r>
      <w:r w:rsidR="00A16CB1">
        <w:rPr>
          <w:lang w:val="en-GB" w:eastAsia="en-GB"/>
        </w:rPr>
        <w:t xml:space="preserve">for a unified DL TCI state </w:t>
      </w:r>
      <w:r>
        <w:rPr>
          <w:lang w:val="en-GB" w:eastAsia="en-GB"/>
        </w:rPr>
        <w:t>i.e. TCI state indication is defined follows:</w:t>
      </w:r>
    </w:p>
    <w:tbl>
      <w:tblPr>
        <w:tblStyle w:val="TableGrid"/>
        <w:tblW w:w="0" w:type="auto"/>
        <w:tblLook w:val="04A0" w:firstRow="1" w:lastRow="0" w:firstColumn="1" w:lastColumn="0" w:noHBand="0" w:noVBand="1"/>
      </w:tblPr>
      <w:tblGrid>
        <w:gridCol w:w="9617"/>
      </w:tblGrid>
      <w:tr w:rsidR="00EF006F" w14:paraId="47070F0A" w14:textId="77777777">
        <w:tc>
          <w:tcPr>
            <w:tcW w:w="9617" w:type="dxa"/>
          </w:tcPr>
          <w:p w14:paraId="13C010B1" w14:textId="77777777" w:rsidR="00EF006F" w:rsidRPr="003823AE" w:rsidRDefault="00EF006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3823AE">
              <w:rPr>
                <w:rFonts w:ascii="Arial" w:eastAsia="Times New Roman" w:hAnsi="Arial" w:cs="Times New Roman"/>
                <w:sz w:val="28"/>
                <w:szCs w:val="20"/>
                <w:lang w:val="en-GB" w:eastAsia="en-GB"/>
              </w:rPr>
              <w:t>8.15.4</w:t>
            </w:r>
            <w:r w:rsidRPr="003823AE">
              <w:rPr>
                <w:rFonts w:ascii="Arial" w:eastAsia="Times New Roman" w:hAnsi="Arial" w:cs="Times New Roman"/>
                <w:sz w:val="28"/>
                <w:szCs w:val="20"/>
                <w:lang w:val="en-GB" w:eastAsia="en-GB"/>
              </w:rPr>
              <w:tab/>
              <w:t>DCI based downlink TCI state switch delay</w:t>
            </w:r>
          </w:p>
          <w:p w14:paraId="4A4D019C" w14:textId="77777777" w:rsidR="00EF006F" w:rsidRPr="003823AE" w:rsidRDefault="00EF006F">
            <w:pPr>
              <w:overflowPunct w:val="0"/>
              <w:autoSpaceDE w:val="0"/>
              <w:autoSpaceDN w:val="0"/>
              <w:adjustRightInd w:val="0"/>
              <w:spacing w:after="180"/>
              <w:textAlignment w:val="baseline"/>
              <w:rPr>
                <w:rFonts w:eastAsia="Times New Roman" w:cs="Times New Roman"/>
                <w:szCs w:val="20"/>
                <w:lang w:val="en-GB" w:eastAsia="en-GB"/>
              </w:rPr>
            </w:pPr>
            <w:r w:rsidRPr="003823AE">
              <w:rPr>
                <w:rFonts w:eastAsia="Times New Roman" w:cs="Times New Roman"/>
                <w:szCs w:val="20"/>
                <w:lang w:val="en-GB" w:eastAsia="en-GB"/>
              </w:rPr>
              <w:t xml:space="preserve">When a UE is configured with the higher layer parameter with </w:t>
            </w:r>
            <w:r w:rsidRPr="003823AE">
              <w:rPr>
                <w:rFonts w:eastAsia="Times New Roman" w:cs="Times New Roman"/>
                <w:i/>
                <w:iCs/>
                <w:szCs w:val="20"/>
                <w:lang w:val="en-GB" w:eastAsia="en-GB"/>
              </w:rPr>
              <w:t xml:space="preserve">DLorJointTCIState </w:t>
            </w:r>
            <w:r w:rsidRPr="003823AE">
              <w:rPr>
                <w:rFonts w:eastAsia="Times New Roman" w:cs="Times New Roman"/>
                <w:szCs w:val="20"/>
                <w:lang w:val="en-GB" w:eastAsia="en-GB"/>
              </w:rPr>
              <w:t>or</w:t>
            </w:r>
            <w:r w:rsidRPr="003823AE">
              <w:rPr>
                <w:rFonts w:eastAsia="Times New Roman" w:cs="Times New Roman"/>
                <w:i/>
                <w:iCs/>
                <w:szCs w:val="20"/>
                <w:lang w:val="en-GB" w:eastAsia="en-GB"/>
              </w:rPr>
              <w:t xml:space="preserve"> UL-TCIState,</w:t>
            </w:r>
            <w:r w:rsidRPr="003823AE">
              <w:rPr>
                <w:rFonts w:eastAsia="Times New Roman" w:cs="Times New Roman"/>
                <w:szCs w:val="20"/>
                <w:lang w:val="en-GB" w:eastAsia="en-GB"/>
              </w:rP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07439711" w14:textId="77777777" w:rsidR="00EF006F" w:rsidRDefault="00EF006F">
            <w:pPr>
              <w:overflowPunct w:val="0"/>
              <w:autoSpaceDE w:val="0"/>
              <w:autoSpaceDN w:val="0"/>
              <w:adjustRightInd w:val="0"/>
              <w:spacing w:after="180"/>
              <w:textAlignment w:val="baseline"/>
              <w:rPr>
                <w:lang w:val="en-GB" w:eastAsia="en-GB"/>
              </w:rPr>
            </w:pPr>
            <w:r w:rsidRPr="003823AE">
              <w:rPr>
                <w:rFonts w:eastAsia="Times New Roman" w:cs="Times New Roman"/>
                <w:szCs w:val="20"/>
                <w:lang w:val="en-GB" w:eastAsia="en-GB"/>
              </w:rPr>
              <w:t>If the target TCI state is known, the downlink TCI switching to the indicated D</w:t>
            </w:r>
            <w:r w:rsidRPr="003823AE">
              <w:rPr>
                <w:rFonts w:eastAsia="Times New Roman" w:cs="Times New Roman"/>
                <w:szCs w:val="20"/>
                <w:lang w:eastAsia="zh-CN"/>
              </w:rPr>
              <w:t>L TCI state or joint TCI state</w:t>
            </w:r>
            <w:r w:rsidRPr="003823AE">
              <w:rPr>
                <w:rFonts w:eastAsia="Times New Roman" w:cs="Times New Roman"/>
                <w:szCs w:val="20"/>
                <w:lang w:val="en-GB" w:eastAsia="en-GB"/>
              </w:rPr>
              <w:t xml:space="preserve"> in the DCI format shall be completed starting from the first slot that is at least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after the last symbol of the PUCCH carrying HARQ-AC</w:t>
            </w:r>
            <w:r w:rsidRPr="003823AE">
              <w:rPr>
                <w:rFonts w:eastAsia="Times New Roman" w:cs="Times New Roman"/>
                <w:szCs w:val="20"/>
                <w:lang w:val="sv-SE" w:eastAsia="zh-CN"/>
              </w:rPr>
              <w:t>K</w:t>
            </w:r>
            <w:r w:rsidRPr="003823AE">
              <w:rPr>
                <w:rFonts w:eastAsia="Times New Roman" w:cs="Times New Roman"/>
                <w:szCs w:val="20"/>
                <w:lang w:val="en-GB" w:eastAsia="en-GB"/>
              </w:rPr>
              <w:t xml:space="preserve"> in response to</w:t>
            </w:r>
            <w:r w:rsidRPr="003823AE">
              <w:rPr>
                <w:rFonts w:eastAsia="Times New Roman" w:cs="Times New Roman"/>
                <w:szCs w:val="20"/>
                <w:lang w:val="sv-SE" w:eastAsia="zh-CN"/>
              </w:rPr>
              <w:t xml:space="preserve"> the DCI triggering TCI state activation</w:t>
            </w:r>
            <w:r w:rsidRPr="003823AE">
              <w:rPr>
                <w:rFonts w:eastAsia="Times New Roman" w:cs="Times New Roman"/>
                <w:szCs w:val="20"/>
                <w:lang w:val="en-GB" w:eastAsia="en-GB"/>
              </w:rPr>
              <w:t xml:space="preserve">. The first slot and the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are both determined on the carrier with the smallest SCS among the carrier(s) applying the beam indication. The value of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is defined in TS 38.331 [2]. The known condition for TCI state defined in clause 8.15.2 is applied.</w:t>
            </w:r>
          </w:p>
        </w:tc>
      </w:tr>
    </w:tbl>
    <w:p w14:paraId="74D8BE62" w14:textId="77777777" w:rsidR="00EF006F" w:rsidRDefault="00EF006F" w:rsidP="00EF006F">
      <w:pPr>
        <w:rPr>
          <w:lang w:val="en-GB" w:eastAsia="en-GB"/>
        </w:rPr>
      </w:pPr>
    </w:p>
    <w:p w14:paraId="3A0CA7F1" w14:textId="77777777" w:rsidR="00EF006F" w:rsidRDefault="00EF006F" w:rsidP="00EF006F">
      <w:pPr>
        <w:rPr>
          <w:rFonts w:eastAsia="Times New Roman" w:cs="Times New Roman"/>
          <w:szCs w:val="20"/>
          <w:lang w:val="sv-SE" w:eastAsia="zh-CN"/>
        </w:rPr>
      </w:pPr>
      <w:r>
        <w:rPr>
          <w:lang w:val="en-GB" w:eastAsia="en-GB"/>
        </w:rPr>
        <w:t xml:space="preserve">As shown above, the delay starting point is the </w:t>
      </w:r>
      <w:r w:rsidRPr="003823AE">
        <w:rPr>
          <w:rFonts w:eastAsia="Times New Roman" w:cs="Times New Roman"/>
          <w:szCs w:val="20"/>
          <w:lang w:val="en-GB" w:eastAsia="en-GB"/>
        </w:rPr>
        <w:t>UE t</w:t>
      </w:r>
      <w:r>
        <w:rPr>
          <w:rFonts w:eastAsia="Times New Roman" w:cs="Times New Roman"/>
          <w:szCs w:val="20"/>
          <w:lang w:val="en-GB" w:eastAsia="en-GB"/>
        </w:rPr>
        <w:t>ransmission of</w:t>
      </w:r>
      <w:r w:rsidRPr="003823AE">
        <w:rPr>
          <w:rFonts w:eastAsia="Times New Roman" w:cs="Times New Roman"/>
          <w:szCs w:val="20"/>
          <w:lang w:val="en-GB" w:eastAsia="en-GB"/>
        </w:rPr>
        <w:t xml:space="preserve"> a PUCCH with HARQ-ACK information corresponding to the DCI carrying the TCI-State indication</w:t>
      </w:r>
      <w:r>
        <w:rPr>
          <w:rFonts w:eastAsia="Times New Roman" w:cs="Times New Roman"/>
          <w:szCs w:val="20"/>
          <w:lang w:val="en-GB" w:eastAsia="en-GB"/>
        </w:rPr>
        <w:t>. The ending point is at the</w:t>
      </w:r>
      <w:r w:rsidRPr="003823AE">
        <w:rPr>
          <w:rFonts w:eastAsia="Times New Roman" w:cs="Times New Roman"/>
          <w:szCs w:val="20"/>
          <w:lang w:val="en-GB" w:eastAsia="en-GB"/>
        </w:rPr>
        <w:t xml:space="preserve"> first slot that is at least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after the last symbol of the PUCCH carrying HARQ-AC</w:t>
      </w:r>
      <w:r w:rsidRPr="003823AE">
        <w:rPr>
          <w:rFonts w:eastAsia="Times New Roman" w:cs="Times New Roman"/>
          <w:szCs w:val="20"/>
          <w:lang w:val="sv-SE" w:eastAsia="zh-CN"/>
        </w:rPr>
        <w:t>K</w:t>
      </w:r>
      <w:r w:rsidRPr="003823AE">
        <w:rPr>
          <w:rFonts w:eastAsia="Times New Roman" w:cs="Times New Roman"/>
          <w:szCs w:val="20"/>
          <w:lang w:val="en-GB" w:eastAsia="en-GB"/>
        </w:rPr>
        <w:t xml:space="preserve"> in response to</w:t>
      </w:r>
      <w:r w:rsidRPr="003823AE">
        <w:rPr>
          <w:rFonts w:eastAsia="Times New Roman" w:cs="Times New Roman"/>
          <w:szCs w:val="20"/>
          <w:lang w:val="sv-SE" w:eastAsia="zh-CN"/>
        </w:rPr>
        <w:t xml:space="preserve"> the DCI triggering </w:t>
      </w:r>
      <w:r>
        <w:rPr>
          <w:rFonts w:eastAsia="Times New Roman" w:cs="Times New Roman"/>
          <w:szCs w:val="20"/>
          <w:lang w:val="sv-SE" w:eastAsia="zh-CN"/>
        </w:rPr>
        <w:t xml:space="preserve">the </w:t>
      </w:r>
      <w:r w:rsidRPr="003823AE">
        <w:rPr>
          <w:rFonts w:eastAsia="Times New Roman" w:cs="Times New Roman"/>
          <w:szCs w:val="20"/>
          <w:lang w:val="sv-SE" w:eastAsia="zh-CN"/>
        </w:rPr>
        <w:t>TCI state activation</w:t>
      </w:r>
      <w:r>
        <w:rPr>
          <w:rFonts w:eastAsia="Times New Roman" w:cs="Times New Roman"/>
          <w:szCs w:val="20"/>
          <w:lang w:val="sv-SE" w:eastAsia="zh-CN"/>
        </w:rPr>
        <w:t>.</w:t>
      </w:r>
    </w:p>
    <w:p w14:paraId="14024C14" w14:textId="7D318034" w:rsidR="006E772D" w:rsidRDefault="006E772D" w:rsidP="00EF006F">
      <w:pPr>
        <w:rPr>
          <w:rFonts w:eastAsia="Times New Roman" w:cs="Times New Roman"/>
          <w:szCs w:val="20"/>
          <w:lang w:val="sv-SE" w:eastAsia="zh-CN"/>
        </w:rPr>
      </w:pPr>
      <w:r>
        <w:rPr>
          <w:rFonts w:eastAsia="Times New Roman" w:cs="Times New Roman"/>
          <w:szCs w:val="20"/>
          <w:lang w:val="sv-SE" w:eastAsia="zh-CN"/>
        </w:rPr>
        <w:t>BeamAppTime-r17 is defined in TS 38.133</w:t>
      </w:r>
      <w:r w:rsidR="006353B3">
        <w:rPr>
          <w:rFonts w:eastAsia="Times New Roman" w:cs="Times New Roman"/>
          <w:szCs w:val="20"/>
          <w:lang w:val="sv-SE" w:eastAsia="zh-CN"/>
        </w:rPr>
        <w:t xml:space="preserve"> and gets the following values:</w:t>
      </w:r>
    </w:p>
    <w:p w14:paraId="6082196D" w14:textId="11BE574B" w:rsidR="006353B3" w:rsidRDefault="00D452B8" w:rsidP="00D452B8">
      <w:pPr>
        <w:jc w:val="center"/>
        <w:rPr>
          <w:rFonts w:eastAsia="Times New Roman" w:cs="Times New Roman"/>
          <w:szCs w:val="20"/>
          <w:lang w:val="sv-SE" w:eastAsia="zh-CN"/>
        </w:rPr>
      </w:pPr>
      <w:r>
        <w:rPr>
          <w:noProof/>
        </w:rPr>
        <w:drawing>
          <wp:inline distT="0" distB="0" distL="0" distR="0" wp14:anchorId="4E27801B" wp14:editId="529D4A15">
            <wp:extent cx="6398676" cy="2146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74115" cy="223926"/>
                    </a:xfrm>
                    <a:prstGeom prst="rect">
                      <a:avLst/>
                    </a:prstGeom>
                  </pic:spPr>
                </pic:pic>
              </a:graphicData>
            </a:graphic>
          </wp:inline>
        </w:drawing>
      </w:r>
    </w:p>
    <w:p w14:paraId="1293A996" w14:textId="77777777" w:rsidR="00EF006F" w:rsidRDefault="00EF006F" w:rsidP="00EF006F">
      <w:pPr>
        <w:rPr>
          <w:lang w:val="en-GB" w:eastAsia="en-GB"/>
        </w:rPr>
      </w:pPr>
      <w:r>
        <w:rPr>
          <w:lang w:val="en-GB" w:eastAsia="en-GB"/>
        </w:rPr>
        <w:t xml:space="preserve">RAN1 has agreed that beam application time is also supported in LTM, with the details pending on RAN4 and RAN2 feedback. </w:t>
      </w:r>
    </w:p>
    <w:p w14:paraId="45DD9B96" w14:textId="56E4242C" w:rsidR="00EF006F" w:rsidRPr="00367F07" w:rsidRDefault="004F3426" w:rsidP="00EF006F">
      <w:pPr>
        <w:pStyle w:val="RAN4observation0"/>
        <w:jc w:val="both"/>
        <w:rPr>
          <w:lang w:val="en-GB" w:eastAsia="en-GB"/>
        </w:rPr>
      </w:pPr>
      <w:bookmarkStart w:id="3" w:name="_Toc142663275"/>
      <w:r>
        <w:rPr>
          <w:lang w:val="en-GB" w:eastAsia="en-GB"/>
        </w:rPr>
        <w:t>For DCI-based TCI state indication in Rel-17, b</w:t>
      </w:r>
      <w:r w:rsidR="008E0665">
        <w:rPr>
          <w:lang w:val="en-GB" w:eastAsia="en-GB"/>
        </w:rPr>
        <w:t>eam application time</w:t>
      </w:r>
      <w:r>
        <w:rPr>
          <w:lang w:val="en-GB" w:eastAsia="en-GB"/>
        </w:rPr>
        <w:t xml:space="preserve"> is</w:t>
      </w:r>
      <w:r w:rsidR="00EF006F" w:rsidRPr="00367F07">
        <w:rPr>
          <w:lang w:val="en-GB" w:eastAsia="en-GB"/>
        </w:rPr>
        <w:t xml:space="preserve"> defined as the time from when the network receives from the UE a HARQ-ACK response to the DCI until the slot </w:t>
      </w:r>
      <w:r w:rsidR="00AF1AE2">
        <w:rPr>
          <w:lang w:val="en-GB" w:eastAsia="en-GB"/>
        </w:rPr>
        <w:t xml:space="preserve">where the indicated </w:t>
      </w:r>
      <w:r w:rsidR="00597BC2">
        <w:rPr>
          <w:lang w:val="en-GB" w:eastAsia="en-GB"/>
        </w:rPr>
        <w:t>TCI state is considered applied.</w:t>
      </w:r>
      <w:bookmarkEnd w:id="3"/>
      <w:r w:rsidR="00597BC2">
        <w:rPr>
          <w:lang w:val="en-GB" w:eastAsia="en-GB"/>
        </w:rPr>
        <w:t xml:space="preserve"> </w:t>
      </w:r>
    </w:p>
    <w:p w14:paraId="66A1C14C" w14:textId="55CAD4BC" w:rsidR="00EF006F" w:rsidRDefault="008347BE" w:rsidP="008347BE">
      <w:pPr>
        <w:pStyle w:val="RAN4H1"/>
        <w:rPr>
          <w:lang w:val="en-GB" w:eastAsia="en-GB"/>
        </w:rPr>
      </w:pPr>
      <w:r>
        <w:rPr>
          <w:lang w:val="en-GB" w:eastAsia="en-GB"/>
        </w:rPr>
        <w:t>Beam application time as part of LTM cell switch delay</w:t>
      </w:r>
    </w:p>
    <w:p w14:paraId="1CD91CA9" w14:textId="30AB31F9" w:rsidR="004B1D0E" w:rsidRDefault="00EE5886" w:rsidP="00EF006F">
      <w:pPr>
        <w:rPr>
          <w:lang w:val="en-GB" w:eastAsia="en-GB"/>
        </w:rPr>
      </w:pPr>
      <w:r w:rsidRPr="002637CE">
        <w:rPr>
          <w:rFonts w:cs="Times New Roman"/>
          <w:szCs w:val="20"/>
          <w:lang w:val="en-GB" w:eastAsia="en-GB"/>
        </w:rPr>
        <w:t>Similar to legacy, RAN1 has agreed</w:t>
      </w:r>
      <w:r w:rsidR="004963A3" w:rsidRPr="00A74EE0">
        <w:rPr>
          <w:rFonts w:cs="Times New Roman"/>
          <w:szCs w:val="20"/>
          <w:lang w:val="en-GB" w:eastAsia="en-GB"/>
        </w:rPr>
        <w:t xml:space="preserve"> that also for LTM cell switch, beam</w:t>
      </w:r>
      <w:r w:rsidR="00D00A75" w:rsidRPr="003413FE">
        <w:rPr>
          <w:rStyle w:val="cf01"/>
          <w:rFonts w:ascii="Times New Roman" w:hAnsi="Times New Roman" w:cs="Times New Roman"/>
          <w:sz w:val="20"/>
          <w:szCs w:val="20"/>
        </w:rPr>
        <w:t xml:space="preserve"> application time is supported, and starts after the last symbol of the PUCCH or PUSCH carrying the HARQ-ACK for the PDSCH which carries MAC-CE containing cell switch command with the beam indication for the target cell(s)</w:t>
      </w:r>
      <w:r w:rsidR="00DB15E8">
        <w:rPr>
          <w:rStyle w:val="cf01"/>
          <w:rFonts w:ascii="Times New Roman" w:hAnsi="Times New Roman" w:cs="Times New Roman"/>
          <w:sz w:val="20"/>
          <w:szCs w:val="20"/>
        </w:rPr>
        <w:t>.</w:t>
      </w:r>
      <w:r w:rsidR="004B1D0E">
        <w:rPr>
          <w:rStyle w:val="cf01"/>
          <w:rFonts w:ascii="Times New Roman" w:hAnsi="Times New Roman" w:cs="Times New Roman"/>
          <w:sz w:val="20"/>
          <w:szCs w:val="20"/>
        </w:rPr>
        <w:t xml:space="preserve"> </w:t>
      </w:r>
      <w:r w:rsidR="00A74EE0">
        <w:rPr>
          <w:lang w:val="en-GB" w:eastAsia="en-GB"/>
        </w:rPr>
        <w:t>However, i</w:t>
      </w:r>
      <w:r w:rsidR="000F7E08">
        <w:rPr>
          <w:lang w:val="en-GB" w:eastAsia="en-GB"/>
        </w:rPr>
        <w:t xml:space="preserve">t is unclear whether RAN1 is going to define beam application time </w:t>
      </w:r>
      <w:r w:rsidR="004B1D0E">
        <w:rPr>
          <w:lang w:val="en-GB" w:eastAsia="en-GB"/>
        </w:rPr>
        <w:t xml:space="preserve">in a similar manner </w:t>
      </w:r>
      <w:r w:rsidR="000F7E08">
        <w:rPr>
          <w:lang w:val="en-GB" w:eastAsia="en-GB"/>
        </w:rPr>
        <w:t>also for LTM cell switch</w:t>
      </w:r>
      <w:r w:rsidR="00630EDF">
        <w:rPr>
          <w:lang w:val="en-GB" w:eastAsia="en-GB"/>
        </w:rPr>
        <w:t>, or whether beam application time can be considered to be included</w:t>
      </w:r>
      <w:r w:rsidR="00E23CC3">
        <w:rPr>
          <w:lang w:val="en-GB" w:eastAsia="en-GB"/>
        </w:rPr>
        <w:t>, partially or fully,</w:t>
      </w:r>
      <w:r w:rsidR="00630EDF">
        <w:rPr>
          <w:lang w:val="en-GB" w:eastAsia="en-GB"/>
        </w:rPr>
        <w:t xml:space="preserve"> in the cell switch</w:t>
      </w:r>
      <w:r w:rsidR="00A74EE0">
        <w:rPr>
          <w:lang w:val="en-GB" w:eastAsia="en-GB"/>
        </w:rPr>
        <w:t xml:space="preserve">. </w:t>
      </w:r>
    </w:p>
    <w:p w14:paraId="001DEC1B" w14:textId="1612DC92" w:rsidR="00745D89" w:rsidRPr="003413FE" w:rsidRDefault="00A74EE0" w:rsidP="00EF006F">
      <w:pPr>
        <w:rPr>
          <w:rFonts w:cs="Times New Roman"/>
          <w:szCs w:val="20"/>
        </w:rPr>
      </w:pPr>
      <w:r>
        <w:rPr>
          <w:lang w:val="en-GB" w:eastAsia="en-GB"/>
        </w:rPr>
        <w:t>I</w:t>
      </w:r>
      <w:r w:rsidR="00401953">
        <w:rPr>
          <w:lang w:val="en-GB" w:eastAsia="en-GB"/>
        </w:rPr>
        <w:t>n the LS, w</w:t>
      </w:r>
      <w:r w:rsidR="004317AC">
        <w:rPr>
          <w:lang w:val="en-GB" w:eastAsia="en-GB"/>
        </w:rPr>
        <w:t xml:space="preserve">hat RAN1 </w:t>
      </w:r>
      <w:r w:rsidR="00401953">
        <w:rPr>
          <w:lang w:val="en-GB" w:eastAsia="en-GB"/>
        </w:rPr>
        <w:t>needs</w:t>
      </w:r>
      <w:r w:rsidR="004317AC">
        <w:rPr>
          <w:lang w:val="en-GB" w:eastAsia="en-GB"/>
        </w:rPr>
        <w:t xml:space="preserve"> to know is whether the components of the beam application time as described in the LS are taken into account in </w:t>
      </w:r>
      <w:r w:rsidR="00180DF3">
        <w:rPr>
          <w:lang w:val="en-GB" w:eastAsia="en-GB"/>
        </w:rPr>
        <w:t>the cell switch</w:t>
      </w:r>
      <w:r w:rsidR="00A333D6">
        <w:rPr>
          <w:lang w:val="en-GB" w:eastAsia="en-GB"/>
        </w:rPr>
        <w:t xml:space="preserve"> delay</w:t>
      </w:r>
      <w:r w:rsidR="007A6453">
        <w:rPr>
          <w:lang w:val="en-GB" w:eastAsia="en-GB"/>
        </w:rPr>
        <w:t xml:space="preserve"> by RAN4</w:t>
      </w:r>
      <w:r w:rsidR="00A333D6">
        <w:rPr>
          <w:lang w:val="en-GB" w:eastAsia="en-GB"/>
        </w:rPr>
        <w:t xml:space="preserve">. </w:t>
      </w:r>
    </w:p>
    <w:p w14:paraId="70CE4DE0" w14:textId="77777777" w:rsidR="00AA4A3A" w:rsidRDefault="003927CA" w:rsidP="00EF006F">
      <w:pPr>
        <w:rPr>
          <w:lang w:val="en-GB" w:eastAsia="en-GB"/>
        </w:rPr>
      </w:pPr>
      <w:r>
        <w:rPr>
          <w:lang w:val="en-GB" w:eastAsia="en-GB"/>
        </w:rPr>
        <w:lastRenderedPageBreak/>
        <w:t xml:space="preserve">Based on the current RAN4 agreements, there is no final consensus on any of the components RAN1 has listed. </w:t>
      </w:r>
      <w:r w:rsidR="00696207">
        <w:rPr>
          <w:lang w:val="en-GB" w:eastAsia="en-GB"/>
        </w:rPr>
        <w:t xml:space="preserve">However, </w:t>
      </w:r>
      <w:r w:rsidR="00F73976">
        <w:rPr>
          <w:lang w:val="en-GB" w:eastAsia="en-GB"/>
        </w:rPr>
        <w:t xml:space="preserve">in our view </w:t>
      </w:r>
      <w:r w:rsidR="00696207">
        <w:rPr>
          <w:lang w:val="en-GB" w:eastAsia="en-GB"/>
        </w:rPr>
        <w:t xml:space="preserve">RAN4 </w:t>
      </w:r>
      <w:r w:rsidR="00B87F8A">
        <w:rPr>
          <w:lang w:val="en-GB" w:eastAsia="en-GB"/>
        </w:rPr>
        <w:t xml:space="preserve">has </w:t>
      </w:r>
      <w:r w:rsidR="009F71EE">
        <w:rPr>
          <w:lang w:val="en-GB" w:eastAsia="en-GB"/>
        </w:rPr>
        <w:t>already started the discussion</w:t>
      </w:r>
      <w:r w:rsidR="008A6EE5">
        <w:rPr>
          <w:lang w:val="en-GB" w:eastAsia="en-GB"/>
        </w:rPr>
        <w:t xml:space="preserve"> on each of the components</w:t>
      </w:r>
      <w:r w:rsidR="00F73976">
        <w:rPr>
          <w:lang w:val="en-GB" w:eastAsia="en-GB"/>
        </w:rPr>
        <w:t xml:space="preserve"> individually</w:t>
      </w:r>
      <w:r w:rsidR="00C66569">
        <w:rPr>
          <w:lang w:val="en-GB" w:eastAsia="en-GB"/>
        </w:rPr>
        <w:t xml:space="preserve">. </w:t>
      </w:r>
      <w:r w:rsidR="007D6DE1">
        <w:rPr>
          <w:lang w:val="en-GB" w:eastAsia="en-GB"/>
        </w:rPr>
        <w:t xml:space="preserve">Moreover, the </w:t>
      </w:r>
      <w:r w:rsidR="00AA4A3A">
        <w:rPr>
          <w:lang w:val="en-GB" w:eastAsia="en-GB"/>
        </w:rPr>
        <w:t>listed aspects are discussed in:</w:t>
      </w:r>
    </w:p>
    <w:p w14:paraId="794749F3" w14:textId="39FD69C0" w:rsidR="00AA4A3A" w:rsidRPr="00401953" w:rsidRDefault="00AA4A3A" w:rsidP="00AA4A3A">
      <w:pPr>
        <w:pStyle w:val="ListParagraph"/>
        <w:numPr>
          <w:ilvl w:val="2"/>
          <w:numId w:val="32"/>
        </w:numPr>
        <w:snapToGrid w:val="0"/>
        <w:contextualSpacing w:val="0"/>
        <w:jc w:val="both"/>
        <w:rPr>
          <w:rFonts w:cs="Times New Roman"/>
          <w:i/>
          <w:iCs/>
          <w:szCs w:val="20"/>
        </w:rPr>
      </w:pPr>
      <w:r w:rsidRPr="00EB5C71">
        <w:rPr>
          <w:rFonts w:cs="Times New Roman"/>
          <w:b/>
          <w:i/>
          <w:iCs/>
          <w:szCs w:val="20"/>
        </w:rPr>
        <w:t>Whether TCI state activation is received before/together with cell switch command</w:t>
      </w:r>
      <w:r w:rsidR="007728F0" w:rsidRPr="00EB5C71">
        <w:rPr>
          <w:rFonts w:cs="Times New Roman"/>
          <w:b/>
          <w:i/>
          <w:iCs/>
          <w:szCs w:val="20"/>
        </w:rPr>
        <w:t>:</w:t>
      </w:r>
      <w:r w:rsidR="007728F0">
        <w:rPr>
          <w:rFonts w:cs="Times New Roman"/>
          <w:i/>
          <w:iCs/>
          <w:szCs w:val="20"/>
        </w:rPr>
        <w:t xml:space="preserve"> </w:t>
      </w:r>
      <w:r w:rsidR="007728F0" w:rsidRPr="00243FF5">
        <w:rPr>
          <w:rFonts w:cs="Times New Roman"/>
          <w:szCs w:val="20"/>
        </w:rPr>
        <w:t xml:space="preserve">Discussed at least as part of </w:t>
      </w:r>
      <w:r w:rsidR="008347BE">
        <w:rPr>
          <w:rFonts w:cs="Times New Roman"/>
          <w:szCs w:val="20"/>
        </w:rPr>
        <w:t xml:space="preserve"> the definition of </w:t>
      </w:r>
      <w:r w:rsidR="00243FF5" w:rsidRPr="00243FF5">
        <w:t>T</w:t>
      </w:r>
      <w:r w:rsidR="00243FF5" w:rsidRPr="00243FF5">
        <w:rPr>
          <w:vertAlign w:val="subscript"/>
        </w:rPr>
        <w:t>∆</w:t>
      </w:r>
      <w:r w:rsidR="00243FF5" w:rsidRPr="00243FF5">
        <w:t xml:space="preserve"> and T</w:t>
      </w:r>
      <w:r w:rsidR="00243FF5" w:rsidRPr="00243FF5">
        <w:rPr>
          <w:vertAlign w:val="subscript"/>
        </w:rPr>
        <w:t>margin</w:t>
      </w:r>
    </w:p>
    <w:p w14:paraId="3EECDB8D" w14:textId="76AB8B6D" w:rsidR="00AA4A3A" w:rsidRPr="00401953" w:rsidRDefault="00AA4A3A" w:rsidP="00AA4A3A">
      <w:pPr>
        <w:pStyle w:val="ListParagraph"/>
        <w:numPr>
          <w:ilvl w:val="2"/>
          <w:numId w:val="32"/>
        </w:numPr>
        <w:snapToGrid w:val="0"/>
        <w:contextualSpacing w:val="0"/>
        <w:jc w:val="both"/>
        <w:rPr>
          <w:rFonts w:cs="Times New Roman"/>
          <w:i/>
          <w:iCs/>
          <w:szCs w:val="20"/>
        </w:rPr>
      </w:pPr>
      <w:r w:rsidRPr="00EB5C71">
        <w:rPr>
          <w:rFonts w:cs="Times New Roman"/>
          <w:b/>
          <w:i/>
          <w:iCs/>
          <w:szCs w:val="20"/>
        </w:rPr>
        <w:t xml:space="preserve">Legacy values, i.e. </w:t>
      </w:r>
      <w:r w:rsidRPr="00EB5C71">
        <w:rPr>
          <w:rFonts w:cs="Times New Roman"/>
          <w:b/>
          <w:i/>
          <w:iCs/>
          <w:szCs w:val="20"/>
        </w:rPr>
        <w:fldChar w:fldCharType="begin"/>
      </w:r>
      <w:r w:rsidRPr="00EB5C71">
        <w:rPr>
          <w:rFonts w:cs="Times New Roman"/>
          <w:b/>
          <w:i/>
          <w:iCs/>
          <w:szCs w:val="20"/>
        </w:rPr>
        <w:instrText xml:space="preserve"> QUOTE </w:instrText>
      </w:r>
      <w:r w:rsidR="00000000">
        <w:rPr>
          <w:rFonts w:cs="Times New Roman"/>
          <w:b/>
          <w:i/>
          <w:iCs/>
          <w:position w:val="-6"/>
          <w:szCs w:val="20"/>
        </w:rPr>
        <w:pict w14:anchorId="34677830">
          <v:shape id="_x0000_i1027" type="#_x0000_t75" style="width:53.85pt;height:14.4pt" equationxml="&lt;">
            <v:imagedata r:id="rId13" o:title="" chromakey="white"/>
          </v:shape>
        </w:pict>
      </w:r>
      <w:r w:rsidRPr="00EB5C71">
        <w:rPr>
          <w:rFonts w:cs="Times New Roman"/>
          <w:b/>
          <w:i/>
          <w:iCs/>
          <w:szCs w:val="20"/>
        </w:rPr>
        <w:instrText xml:space="preserve"> </w:instrText>
      </w:r>
      <w:r w:rsidRPr="00EB5C71">
        <w:rPr>
          <w:rFonts w:cs="Times New Roman"/>
          <w:b/>
          <w:i/>
          <w:iCs/>
          <w:szCs w:val="20"/>
        </w:rPr>
        <w:fldChar w:fldCharType="separate"/>
      </w:r>
      <w:r w:rsidR="00000000">
        <w:rPr>
          <w:rFonts w:cs="Times New Roman"/>
          <w:b/>
          <w:i/>
          <w:iCs/>
          <w:position w:val="-6"/>
          <w:szCs w:val="20"/>
        </w:rPr>
        <w:pict w14:anchorId="007A9232">
          <v:shape id="_x0000_i1028" type="#_x0000_t75" style="width:53.85pt;height:14.4pt" equationxml="&lt;">
            <v:imagedata r:id="rId13" o:title="" chromakey="white"/>
          </v:shape>
        </w:pict>
      </w:r>
      <w:r w:rsidRPr="00EB5C71">
        <w:rPr>
          <w:rFonts w:cs="Times New Roman"/>
          <w:b/>
          <w:i/>
          <w:iCs/>
          <w:szCs w:val="20"/>
        </w:rPr>
        <w:fldChar w:fldCharType="end"/>
      </w:r>
      <w:r w:rsidRPr="00EB5C71">
        <w:rPr>
          <w:rFonts w:cs="Times New Roman"/>
          <w:b/>
          <w:i/>
          <w:iCs/>
          <w:szCs w:val="20"/>
        </w:rPr>
        <w:t xml:space="preserve"> and BeamAppTime-r17</w:t>
      </w:r>
      <w:r w:rsidR="00347099" w:rsidRPr="00EB5C71">
        <w:rPr>
          <w:rFonts w:cs="Times New Roman"/>
          <w:b/>
          <w:szCs w:val="20"/>
        </w:rPr>
        <w:t>:</w:t>
      </w:r>
      <w:r w:rsidR="00347099">
        <w:rPr>
          <w:rFonts w:cs="Times New Roman"/>
          <w:szCs w:val="20"/>
        </w:rPr>
        <w:t xml:space="preserve"> </w:t>
      </w:r>
      <w:r w:rsidR="003B08C1">
        <w:rPr>
          <w:rFonts w:cs="Times New Roman"/>
          <w:szCs w:val="20"/>
        </w:rPr>
        <w:t xml:space="preserve">MAC-CE processing is </w:t>
      </w:r>
      <w:r w:rsidR="00041C05">
        <w:rPr>
          <w:rFonts w:cs="Times New Roman"/>
          <w:szCs w:val="20"/>
        </w:rPr>
        <w:t>discussed as part of T</w:t>
      </w:r>
      <w:r w:rsidR="00041C05" w:rsidRPr="008347BE">
        <w:rPr>
          <w:rFonts w:cs="Times New Roman"/>
          <w:szCs w:val="20"/>
          <w:vertAlign w:val="subscript"/>
        </w:rPr>
        <w:t>cmd</w:t>
      </w:r>
      <w:r w:rsidR="004B6564">
        <w:rPr>
          <w:rFonts w:cs="Times New Roman"/>
          <w:szCs w:val="20"/>
        </w:rPr>
        <w:t>.</w:t>
      </w:r>
    </w:p>
    <w:p w14:paraId="1FAF815F" w14:textId="2D077F96" w:rsidR="00AA4A3A" w:rsidRPr="00401953" w:rsidRDefault="00AA4A3A" w:rsidP="00AA4A3A">
      <w:pPr>
        <w:pStyle w:val="ListParagraph"/>
        <w:numPr>
          <w:ilvl w:val="2"/>
          <w:numId w:val="32"/>
        </w:numPr>
        <w:snapToGrid w:val="0"/>
        <w:contextualSpacing w:val="0"/>
        <w:jc w:val="both"/>
        <w:rPr>
          <w:rFonts w:cs="Times New Roman"/>
          <w:i/>
          <w:iCs/>
          <w:szCs w:val="20"/>
        </w:rPr>
      </w:pPr>
      <w:r w:rsidRPr="00EB5C71">
        <w:rPr>
          <w:rFonts w:cs="Times New Roman"/>
          <w:b/>
          <w:i/>
          <w:iCs/>
          <w:szCs w:val="20"/>
        </w:rPr>
        <w:t>RF retuning time when inter-frequency switch is performed, which is up to RAN4</w:t>
      </w:r>
      <w:r w:rsidR="00816F40">
        <w:rPr>
          <w:rFonts w:cs="Times New Roman"/>
          <w:bCs/>
          <w:szCs w:val="20"/>
        </w:rPr>
        <w:t>: Discussed as part of T</w:t>
      </w:r>
      <w:r w:rsidR="00816F40" w:rsidRPr="00816F40">
        <w:rPr>
          <w:rFonts w:cs="Times New Roman"/>
          <w:bCs/>
          <w:szCs w:val="20"/>
          <w:vertAlign w:val="subscript"/>
        </w:rPr>
        <w:t>LTM_processing</w:t>
      </w:r>
    </w:p>
    <w:p w14:paraId="2B02E87D" w14:textId="683968F3" w:rsidR="00AA4A3A" w:rsidRPr="00401953" w:rsidRDefault="00AA4A3A" w:rsidP="00AA4A3A">
      <w:pPr>
        <w:pStyle w:val="ListParagraph"/>
        <w:numPr>
          <w:ilvl w:val="2"/>
          <w:numId w:val="32"/>
        </w:numPr>
        <w:snapToGrid w:val="0"/>
        <w:contextualSpacing w:val="0"/>
        <w:jc w:val="both"/>
        <w:rPr>
          <w:rFonts w:cs="Times New Roman"/>
          <w:i/>
          <w:iCs/>
          <w:szCs w:val="20"/>
        </w:rPr>
      </w:pPr>
      <w:r w:rsidRPr="00EB5C71">
        <w:rPr>
          <w:rFonts w:cs="Times New Roman"/>
          <w:b/>
          <w:i/>
          <w:iCs/>
          <w:szCs w:val="20"/>
        </w:rPr>
        <w:t>Whether the target cell is one of the current serving cells</w:t>
      </w:r>
      <w:r w:rsidR="00816F40" w:rsidRPr="00EB5C71">
        <w:rPr>
          <w:rFonts w:cs="Times New Roman"/>
          <w:b/>
          <w:szCs w:val="20"/>
        </w:rPr>
        <w:t>:</w:t>
      </w:r>
      <w:r w:rsidR="00816F40">
        <w:rPr>
          <w:rFonts w:cs="Times New Roman"/>
          <w:bCs/>
          <w:szCs w:val="20"/>
        </w:rPr>
        <w:t xml:space="preserve"> Discussed </w:t>
      </w:r>
      <w:r w:rsidR="000F479C">
        <w:rPr>
          <w:rFonts w:cs="Times New Roman"/>
          <w:bCs/>
          <w:szCs w:val="20"/>
        </w:rPr>
        <w:t xml:space="preserve">at least </w:t>
      </w:r>
      <w:r w:rsidR="00816F40">
        <w:rPr>
          <w:rFonts w:cs="Times New Roman"/>
          <w:bCs/>
          <w:szCs w:val="20"/>
        </w:rPr>
        <w:t>as part of T</w:t>
      </w:r>
      <w:r w:rsidR="00816F40" w:rsidRPr="00816F40">
        <w:rPr>
          <w:rFonts w:cs="Times New Roman"/>
          <w:bCs/>
          <w:szCs w:val="20"/>
          <w:vertAlign w:val="subscript"/>
        </w:rPr>
        <w:t>LTM_processing</w:t>
      </w:r>
      <w:r w:rsidR="000F479C">
        <w:rPr>
          <w:rFonts w:cs="Times New Roman"/>
          <w:bCs/>
          <w:szCs w:val="20"/>
        </w:rPr>
        <w:t xml:space="preserve">, </w:t>
      </w:r>
      <w:r w:rsidR="000F479C" w:rsidRPr="00243FF5">
        <w:t>T</w:t>
      </w:r>
      <w:r w:rsidR="000F479C" w:rsidRPr="00243FF5">
        <w:rPr>
          <w:vertAlign w:val="subscript"/>
        </w:rPr>
        <w:t>∆</w:t>
      </w:r>
      <w:r w:rsidR="000F479C" w:rsidRPr="00243FF5">
        <w:t xml:space="preserve"> and T</w:t>
      </w:r>
      <w:r w:rsidR="000F479C" w:rsidRPr="00243FF5">
        <w:rPr>
          <w:vertAlign w:val="subscript"/>
        </w:rPr>
        <w:t>margin</w:t>
      </w:r>
    </w:p>
    <w:p w14:paraId="0A4A26FA" w14:textId="7181CDCB" w:rsidR="00245C0E" w:rsidRDefault="00602DE3" w:rsidP="00EF006F">
      <w:pPr>
        <w:rPr>
          <w:lang w:val="en-GB" w:eastAsia="en-GB"/>
        </w:rPr>
      </w:pPr>
      <w:r>
        <w:rPr>
          <w:lang w:val="en-GB" w:eastAsia="en-GB"/>
        </w:rPr>
        <w:t xml:space="preserve">Considering the status of the discussion for the cell switch delay, </w:t>
      </w:r>
      <w:r w:rsidR="00BB66EA">
        <w:rPr>
          <w:lang w:val="en-GB" w:eastAsia="en-GB"/>
        </w:rPr>
        <w:t>RAN4 can respond to RAN1 at this point that the components listed by RAN1 are to be taken into account in the cell switch delay</w:t>
      </w:r>
      <w:r w:rsidR="00245C0E">
        <w:rPr>
          <w:lang w:val="en-GB" w:eastAsia="en-GB"/>
        </w:rPr>
        <w:t xml:space="preserve">, and the </w:t>
      </w:r>
      <w:r w:rsidR="00720BD7">
        <w:rPr>
          <w:lang w:val="en-GB" w:eastAsia="en-GB"/>
        </w:rPr>
        <w:t xml:space="preserve">cell switch </w:t>
      </w:r>
      <w:r w:rsidR="00245C0E">
        <w:rPr>
          <w:lang w:val="en-GB" w:eastAsia="en-GB"/>
        </w:rPr>
        <w:t>delay may be different depending on one or more of these components.</w:t>
      </w:r>
      <w:r w:rsidR="004B1D0E">
        <w:rPr>
          <w:lang w:val="en-GB" w:eastAsia="en-GB"/>
        </w:rPr>
        <w:t xml:space="preserve"> Furthermore, RAN4 should keep the </w:t>
      </w:r>
      <w:r w:rsidR="00154E79">
        <w:rPr>
          <w:lang w:val="en-GB" w:eastAsia="en-GB"/>
        </w:rPr>
        <w:t>beam application time definition and legacy requirement, as well as any new RAN1 agreements regarding beam application time in mind when defining the cell switch requirements.</w:t>
      </w:r>
    </w:p>
    <w:p w14:paraId="52D44420" w14:textId="699505AC" w:rsidR="008347BE" w:rsidRDefault="008347BE" w:rsidP="008347BE">
      <w:pPr>
        <w:pStyle w:val="RAN4observation0"/>
        <w:rPr>
          <w:lang w:val="en-GB" w:eastAsia="en-GB"/>
        </w:rPr>
      </w:pPr>
      <w:bookmarkStart w:id="4" w:name="_Toc142663276"/>
      <w:r>
        <w:rPr>
          <w:lang w:val="en-GB" w:eastAsia="en-GB"/>
        </w:rPr>
        <w:t xml:space="preserve">The components of beam application time listed by RAN1 are being discussed as part of the cell switching delay in RAN4, and the cell switch delay may </w:t>
      </w:r>
      <w:r w:rsidR="00C55F26">
        <w:rPr>
          <w:lang w:val="en-GB" w:eastAsia="en-GB"/>
        </w:rPr>
        <w:t>be different depending on at least some of the components.</w:t>
      </w:r>
      <w:bookmarkEnd w:id="4"/>
    </w:p>
    <w:p w14:paraId="5612FABC" w14:textId="77777777" w:rsidR="00C55F26" w:rsidRPr="00C55F26" w:rsidRDefault="00C55F26" w:rsidP="00C55F26">
      <w:pPr>
        <w:pStyle w:val="RAN4proposal"/>
        <w:rPr>
          <w:bCs/>
        </w:rPr>
      </w:pPr>
      <w:bookmarkStart w:id="5" w:name="_Toc142663277"/>
      <w:r w:rsidRPr="00C55F26">
        <w:rPr>
          <w:lang w:val="en-GB" w:eastAsia="en-GB"/>
        </w:rPr>
        <w:t>Considering the current status of RAN4 discussion about LTM cell switch delay, RAN4 may reply to RAN1 LS about beam application time that the components listed by RAN1 are studied and will be taken into account as part of the cell switch delay in RAN4.</w:t>
      </w:r>
      <w:bookmarkEnd w:id="5"/>
    </w:p>
    <w:p w14:paraId="58260BCE" w14:textId="300D9AB6" w:rsidR="008347BE" w:rsidRPr="008347BE" w:rsidRDefault="00C55F26" w:rsidP="00C55F26">
      <w:r>
        <w:rPr>
          <w:lang w:val="en-GB" w:eastAsia="en-GB"/>
        </w:rPr>
        <w:t xml:space="preserve">In the LS response </w:t>
      </w:r>
      <w:r w:rsidR="008347BE">
        <w:rPr>
          <w:lang w:val="en-GB" w:eastAsia="en-GB"/>
        </w:rPr>
        <w:t>RAN4 may also include any relevant agreements that may be reached during the RAN4#108 meeting.</w:t>
      </w:r>
    </w:p>
    <w:p w14:paraId="3626BC96" w14:textId="77777777" w:rsidR="00CD7492" w:rsidRPr="008C39F7" w:rsidRDefault="00CD7492" w:rsidP="00A37002">
      <w:pPr>
        <w:pStyle w:val="RAN4H1"/>
      </w:pPr>
      <w:bookmarkStart w:id="6" w:name="_Toc116995848"/>
      <w:r w:rsidRPr="008C39F7">
        <w:t>Conclusion</w:t>
      </w:r>
      <w:bookmarkEnd w:id="6"/>
    </w:p>
    <w:p w14:paraId="071DA415"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4C72A2CF" w14:textId="49EABB2D" w:rsidR="00B15B36" w:rsidRDefault="00A4355E" w:rsidP="003413FE">
      <w:pPr>
        <w:pStyle w:val="TOC4"/>
        <w:rPr>
          <w:rFonts w:asciiTheme="minorHAnsi" w:eastAsiaTheme="minorEastAsia" w:hAnsiTheme="minorHAnsi"/>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2663273" w:history="1">
        <w:r w:rsidR="00B15B36" w:rsidRPr="000E2C5A">
          <w:rPr>
            <w:rStyle w:val="Hyperlink"/>
            <w:b/>
            <w:noProof/>
          </w:rPr>
          <w:t>Observation 1:</w:t>
        </w:r>
        <w:r w:rsidR="00B15B36" w:rsidRPr="000E2C5A">
          <w:rPr>
            <w:rStyle w:val="Hyperlink"/>
            <w:noProof/>
          </w:rPr>
          <w:t xml:space="preserve"> In LTM, TCI state activation can be done either with a separate MAC CE before the cell switch command or at the cell switch command.</w:t>
        </w:r>
      </w:hyperlink>
    </w:p>
    <w:p w14:paraId="64DCB19E" w14:textId="331879E1" w:rsidR="00B15B36" w:rsidRDefault="00B15B36" w:rsidP="003413FE">
      <w:pPr>
        <w:pStyle w:val="TOC4"/>
        <w:rPr>
          <w:rFonts w:asciiTheme="minorHAnsi" w:eastAsiaTheme="minorEastAsia" w:hAnsiTheme="minorHAnsi"/>
          <w:noProof/>
          <w:kern w:val="2"/>
          <w:sz w:val="22"/>
          <w14:ligatures w14:val="standardContextual"/>
        </w:rPr>
      </w:pPr>
      <w:hyperlink w:anchor="_Toc142663274" w:history="1">
        <w:r w:rsidRPr="000E2C5A">
          <w:rPr>
            <w:rStyle w:val="Hyperlink"/>
            <w:b/>
            <w:noProof/>
          </w:rPr>
          <w:t>Observation 2:</w:t>
        </w:r>
        <w:r w:rsidRPr="000E2C5A">
          <w:rPr>
            <w:rStyle w:val="Hyperlink"/>
            <w:noProof/>
          </w:rPr>
          <w:t xml:space="preserve"> In LTM, TCI state indication is done at the cell switch command, which is a MAC-CE command (not DCI as in legacy).</w:t>
        </w:r>
      </w:hyperlink>
    </w:p>
    <w:p w14:paraId="0196F31D" w14:textId="59C3DD16" w:rsidR="00B15B36" w:rsidRDefault="00B15B36" w:rsidP="003413FE">
      <w:pPr>
        <w:pStyle w:val="TOC4"/>
        <w:rPr>
          <w:rFonts w:asciiTheme="minorHAnsi" w:eastAsiaTheme="minorEastAsia" w:hAnsiTheme="minorHAnsi"/>
          <w:noProof/>
          <w:kern w:val="2"/>
          <w:sz w:val="22"/>
          <w14:ligatures w14:val="standardContextual"/>
        </w:rPr>
      </w:pPr>
      <w:hyperlink w:anchor="_Toc142663275" w:history="1">
        <w:r w:rsidRPr="000E2C5A">
          <w:rPr>
            <w:rStyle w:val="Hyperlink"/>
            <w:b/>
            <w:noProof/>
            <w:lang w:val="en-GB" w:eastAsia="en-GB"/>
          </w:rPr>
          <w:t>Observation 3:</w:t>
        </w:r>
        <w:r w:rsidRPr="000E2C5A">
          <w:rPr>
            <w:rStyle w:val="Hyperlink"/>
            <w:noProof/>
            <w:lang w:val="en-GB" w:eastAsia="en-GB"/>
          </w:rPr>
          <w:t xml:space="preserve"> For DCI-based TCI state indication in Rel-17, beam application time is defined as the time from when the network receives from the UE a HARQ-ACK response to the DCI until the slot where the indicated TCI state is considered applied.</w:t>
        </w:r>
      </w:hyperlink>
    </w:p>
    <w:p w14:paraId="16F9448D" w14:textId="4D6593F5" w:rsidR="00B15B36" w:rsidRDefault="00B15B36" w:rsidP="003413FE">
      <w:pPr>
        <w:pStyle w:val="TOC4"/>
        <w:rPr>
          <w:rFonts w:asciiTheme="minorHAnsi" w:eastAsiaTheme="minorEastAsia" w:hAnsiTheme="minorHAnsi"/>
          <w:noProof/>
          <w:kern w:val="2"/>
          <w:sz w:val="22"/>
          <w14:ligatures w14:val="standardContextual"/>
        </w:rPr>
      </w:pPr>
      <w:hyperlink w:anchor="_Toc142663276" w:history="1">
        <w:r w:rsidRPr="000E2C5A">
          <w:rPr>
            <w:rStyle w:val="Hyperlink"/>
            <w:b/>
            <w:noProof/>
            <w:lang w:val="en-GB" w:eastAsia="en-GB"/>
          </w:rPr>
          <w:t>Observation 4:</w:t>
        </w:r>
        <w:r w:rsidRPr="000E2C5A">
          <w:rPr>
            <w:rStyle w:val="Hyperlink"/>
            <w:noProof/>
            <w:lang w:val="en-GB" w:eastAsia="en-GB"/>
          </w:rPr>
          <w:t xml:space="preserve"> The components of beam application time listed by RAN1 are being discussed as part of the cell switching delay in RAN4, and the cell switch delay may be different depending on at least some of the components.</w:t>
        </w:r>
      </w:hyperlink>
    </w:p>
    <w:p w14:paraId="73C7A4B8" w14:textId="45579C57" w:rsidR="00B15B36" w:rsidRDefault="00B15B36">
      <w:pPr>
        <w:pStyle w:val="TOC5"/>
        <w:tabs>
          <w:tab w:val="right" w:leader="dot" w:pos="9617"/>
        </w:tabs>
        <w:rPr>
          <w:rFonts w:asciiTheme="minorHAnsi" w:eastAsiaTheme="minorEastAsia" w:hAnsiTheme="minorHAnsi"/>
          <w:b w:val="0"/>
          <w:noProof/>
          <w:kern w:val="2"/>
          <w:sz w:val="22"/>
          <w14:ligatures w14:val="standardContextual"/>
        </w:rPr>
      </w:pPr>
      <w:hyperlink w:anchor="_Toc142663277" w:history="1">
        <w:r w:rsidRPr="000E2C5A">
          <w:rPr>
            <w:rStyle w:val="Hyperlink"/>
            <w:bCs/>
            <w:noProof/>
          </w:rPr>
          <w:t>Proposal 1:</w:t>
        </w:r>
        <w:r w:rsidRPr="000E2C5A">
          <w:rPr>
            <w:rStyle w:val="Hyperlink"/>
            <w:noProof/>
            <w:lang w:val="en-GB" w:eastAsia="en-GB"/>
          </w:rPr>
          <w:t xml:space="preserve"> Considering the current status of RAN4 discussion about LTM cell switch delay, RAN4 may reply to RAN1 LS about beam application time that the components listed by RAN1 are studied and will be taken into account as part of the cell switch delay in RAN4.</w:t>
        </w:r>
      </w:hyperlink>
    </w:p>
    <w:p w14:paraId="6846E104" w14:textId="2B21A18E" w:rsidR="008C39F7" w:rsidRPr="008C39F7" w:rsidRDefault="00A4355E" w:rsidP="008C39F7">
      <w:r w:rsidRPr="008C39F7">
        <w:fldChar w:fldCharType="end"/>
      </w:r>
      <w:bookmarkStart w:id="7" w:name="_Toc116995849"/>
    </w:p>
    <w:p w14:paraId="02334846" w14:textId="77777777" w:rsidR="00796F26" w:rsidRDefault="00796F26">
      <w:pPr>
        <w:rPr>
          <w:rFonts w:ascii="Arial" w:eastAsia="SimSun" w:hAnsi="Arial" w:cs="Times New Roman"/>
          <w:sz w:val="36"/>
          <w:szCs w:val="20"/>
        </w:rPr>
      </w:pPr>
      <w:r>
        <w:br w:type="page"/>
      </w:r>
    </w:p>
    <w:p w14:paraId="0468558A" w14:textId="77777777" w:rsidR="003B659E" w:rsidRPr="008C39F7" w:rsidRDefault="003B659E" w:rsidP="0060543D">
      <w:pPr>
        <w:pStyle w:val="RAN4H1"/>
        <w:numPr>
          <w:ilvl w:val="0"/>
          <w:numId w:val="0"/>
        </w:numPr>
        <w:ind w:left="360" w:hanging="360"/>
      </w:pPr>
      <w:r w:rsidRPr="008C39F7">
        <w:lastRenderedPageBreak/>
        <w:t>References</w:t>
      </w:r>
      <w:bookmarkEnd w:id="7"/>
    </w:p>
    <w:p w14:paraId="31A633C7" w14:textId="427D446A" w:rsidR="00687FA0" w:rsidRPr="008C39F7" w:rsidRDefault="0076765D" w:rsidP="00D66188">
      <w:pPr>
        <w:pStyle w:val="ListParagraph"/>
        <w:numPr>
          <w:ilvl w:val="0"/>
          <w:numId w:val="21"/>
        </w:numPr>
        <w:ind w:right="-22"/>
      </w:pPr>
      <w:bookmarkStart w:id="8" w:name="_Ref114500673"/>
      <w:bookmarkEnd w:id="8"/>
      <w:r w:rsidRPr="000D6D9D">
        <w:rPr>
          <w:lang w:val="en-GB" w:eastAsia="en-GB"/>
        </w:rPr>
        <w:t>R1-2306259</w:t>
      </w:r>
      <w:r w:rsidR="00D40288" w:rsidRPr="008C39F7">
        <w:t>,</w:t>
      </w:r>
      <w:r w:rsidR="000040DC" w:rsidRPr="008C39F7">
        <w:t xml:space="preserve"> </w:t>
      </w:r>
      <w:r w:rsidR="009971F0" w:rsidRPr="009971F0">
        <w:t>LS on beam application time, contents of cell switch command, TCI state activation and UE based TA measurement for LTM</w:t>
      </w:r>
      <w:r w:rsidR="009971F0">
        <w:t xml:space="preserve">, </w:t>
      </w:r>
      <w:r w:rsidR="00616702">
        <w:t>RAN1</w:t>
      </w:r>
      <w:r w:rsidR="00B408B6" w:rsidRPr="008C39F7">
        <w:t xml:space="preserve">, </w:t>
      </w:r>
      <w:r w:rsidR="003413FE" w:rsidRPr="003413FE">
        <w:t>3GPP TSG RAN WG1 #113</w:t>
      </w:r>
      <w:r w:rsidR="00D40288" w:rsidRPr="008C39F7">
        <w:t xml:space="preserve">, </w:t>
      </w:r>
      <w:r w:rsidR="00171A0A" w:rsidRPr="00171A0A">
        <w:t>Incheon, Korea, May 22nd – May 26th, 2023</w:t>
      </w:r>
      <w:r w:rsidR="000040DC" w:rsidRPr="008C39F7">
        <w:t xml:space="preserve">. </w:t>
      </w:r>
    </w:p>
    <w:p w14:paraId="07EC3B55" w14:textId="77777777" w:rsidR="000040DC" w:rsidRPr="008C39F7" w:rsidRDefault="000040DC" w:rsidP="000040DC">
      <w:pPr>
        <w:ind w:right="-22"/>
        <w:rPr>
          <w:highlight w:val="yellow"/>
        </w:rPr>
      </w:pPr>
    </w:p>
    <w:p w14:paraId="0CACEBB9"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9E3A8" w14:textId="77777777" w:rsidR="00DE77ED" w:rsidRDefault="00DE77ED" w:rsidP="00001C9B">
      <w:pPr>
        <w:spacing w:after="0" w:line="240" w:lineRule="auto"/>
      </w:pPr>
      <w:r>
        <w:separator/>
      </w:r>
    </w:p>
  </w:endnote>
  <w:endnote w:type="continuationSeparator" w:id="0">
    <w:p w14:paraId="64D2A7A3" w14:textId="77777777" w:rsidR="00DE77ED" w:rsidRDefault="00DE77ED" w:rsidP="00001C9B">
      <w:pPr>
        <w:spacing w:after="0" w:line="240" w:lineRule="auto"/>
      </w:pPr>
      <w:r>
        <w:continuationSeparator/>
      </w:r>
    </w:p>
  </w:endnote>
  <w:endnote w:type="continuationNotice" w:id="1">
    <w:p w14:paraId="4C46218B" w14:textId="77777777" w:rsidR="00DE77ED" w:rsidRDefault="00DE7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D9A4" w14:textId="77777777" w:rsidR="00DE77ED" w:rsidRDefault="00DE77ED" w:rsidP="00001C9B">
      <w:pPr>
        <w:spacing w:after="0" w:line="240" w:lineRule="auto"/>
      </w:pPr>
      <w:r>
        <w:separator/>
      </w:r>
    </w:p>
  </w:footnote>
  <w:footnote w:type="continuationSeparator" w:id="0">
    <w:p w14:paraId="036D6CDC" w14:textId="77777777" w:rsidR="00DE77ED" w:rsidRDefault="00DE77ED" w:rsidP="00001C9B">
      <w:pPr>
        <w:spacing w:after="0" w:line="240" w:lineRule="auto"/>
      </w:pPr>
      <w:r>
        <w:continuationSeparator/>
      </w:r>
    </w:p>
  </w:footnote>
  <w:footnote w:type="continuationNotice" w:id="1">
    <w:p w14:paraId="50C93992" w14:textId="77777777" w:rsidR="00DE77ED" w:rsidRDefault="00DE77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20FE0"/>
    <w:multiLevelType w:val="hybridMultilevel"/>
    <w:tmpl w:val="3E467A12"/>
    <w:lvl w:ilvl="0" w:tplc="5CACD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D212FD"/>
    <w:multiLevelType w:val="multilevel"/>
    <w:tmpl w:val="3D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A15F61"/>
    <w:multiLevelType w:val="hybridMultilevel"/>
    <w:tmpl w:val="B8DC4C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2"/>
  </w:num>
  <w:num w:numId="4" w16cid:durableId="517735681">
    <w:abstractNumId w:val="4"/>
  </w:num>
  <w:num w:numId="5" w16cid:durableId="1142041724">
    <w:abstractNumId w:val="15"/>
  </w:num>
  <w:num w:numId="6" w16cid:durableId="80681869">
    <w:abstractNumId w:val="9"/>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9"/>
    <w:lvlOverride w:ilvl="0">
      <w:startOverride w:val="1"/>
    </w:lvlOverride>
  </w:num>
  <w:num w:numId="12" w16cid:durableId="122584543">
    <w:abstractNumId w:val="11"/>
    <w:lvlOverride w:ilvl="0">
      <w:startOverride w:val="1"/>
    </w:lvlOverride>
  </w:num>
  <w:num w:numId="13" w16cid:durableId="818807267">
    <w:abstractNumId w:val="9"/>
    <w:lvlOverride w:ilvl="0">
      <w:startOverride w:val="1"/>
    </w:lvlOverride>
  </w:num>
  <w:num w:numId="14" w16cid:durableId="883829348">
    <w:abstractNumId w:val="11"/>
    <w:lvlOverride w:ilvl="0">
      <w:startOverride w:val="1"/>
    </w:lvlOverride>
  </w:num>
  <w:num w:numId="15" w16cid:durableId="438372887">
    <w:abstractNumId w:val="19"/>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84938240">
    <w:abstractNumId w:val="10"/>
  </w:num>
  <w:num w:numId="28" w16cid:durableId="281963252">
    <w:abstractNumId w:val="16"/>
  </w:num>
  <w:num w:numId="29" w16cid:durableId="1851526014">
    <w:abstractNumId w:val="6"/>
  </w:num>
  <w:num w:numId="30" w16cid:durableId="448160958">
    <w:abstractNumId w:val="7"/>
  </w:num>
  <w:num w:numId="31" w16cid:durableId="645739733">
    <w:abstractNumId w:val="17"/>
  </w:num>
  <w:num w:numId="32" w16cid:durableId="2321316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1AD9"/>
    <w:rsid w:val="00001C9B"/>
    <w:rsid w:val="000040DC"/>
    <w:rsid w:val="00011409"/>
    <w:rsid w:val="00011784"/>
    <w:rsid w:val="000151EF"/>
    <w:rsid w:val="000224C0"/>
    <w:rsid w:val="000239F5"/>
    <w:rsid w:val="00041C05"/>
    <w:rsid w:val="00050B7A"/>
    <w:rsid w:val="0007647F"/>
    <w:rsid w:val="000840E0"/>
    <w:rsid w:val="00085977"/>
    <w:rsid w:val="0008612A"/>
    <w:rsid w:val="00087E60"/>
    <w:rsid w:val="00090E18"/>
    <w:rsid w:val="000A10BC"/>
    <w:rsid w:val="000A5A7A"/>
    <w:rsid w:val="000B0056"/>
    <w:rsid w:val="000C3C7B"/>
    <w:rsid w:val="000C7C33"/>
    <w:rsid w:val="000D0F93"/>
    <w:rsid w:val="000D5B20"/>
    <w:rsid w:val="000F479C"/>
    <w:rsid w:val="000F5CFE"/>
    <w:rsid w:val="000F6CE4"/>
    <w:rsid w:val="000F7E08"/>
    <w:rsid w:val="00106416"/>
    <w:rsid w:val="00110481"/>
    <w:rsid w:val="00110D87"/>
    <w:rsid w:val="001127C9"/>
    <w:rsid w:val="00115B88"/>
    <w:rsid w:val="00130AD6"/>
    <w:rsid w:val="00132F6A"/>
    <w:rsid w:val="001333F0"/>
    <w:rsid w:val="00133913"/>
    <w:rsid w:val="00140221"/>
    <w:rsid w:val="00154B8D"/>
    <w:rsid w:val="00154E79"/>
    <w:rsid w:val="00160B6F"/>
    <w:rsid w:val="001642FC"/>
    <w:rsid w:val="0016496B"/>
    <w:rsid w:val="00171A0A"/>
    <w:rsid w:val="001743E2"/>
    <w:rsid w:val="001745F8"/>
    <w:rsid w:val="00180DF3"/>
    <w:rsid w:val="00181AE3"/>
    <w:rsid w:val="001838CF"/>
    <w:rsid w:val="001868EE"/>
    <w:rsid w:val="001A3BA4"/>
    <w:rsid w:val="001A6D1F"/>
    <w:rsid w:val="001B474A"/>
    <w:rsid w:val="001C24D2"/>
    <w:rsid w:val="001D5524"/>
    <w:rsid w:val="001E30F6"/>
    <w:rsid w:val="001E7F23"/>
    <w:rsid w:val="001F3496"/>
    <w:rsid w:val="002022C9"/>
    <w:rsid w:val="00217EE5"/>
    <w:rsid w:val="00235F5C"/>
    <w:rsid w:val="00243FF5"/>
    <w:rsid w:val="00245C0E"/>
    <w:rsid w:val="00257FA3"/>
    <w:rsid w:val="0026068B"/>
    <w:rsid w:val="00277B56"/>
    <w:rsid w:val="00285147"/>
    <w:rsid w:val="00286F94"/>
    <w:rsid w:val="002966F9"/>
    <w:rsid w:val="002A19F5"/>
    <w:rsid w:val="002B4922"/>
    <w:rsid w:val="002C22C3"/>
    <w:rsid w:val="002C2D19"/>
    <w:rsid w:val="002D10FA"/>
    <w:rsid w:val="002D4C55"/>
    <w:rsid w:val="002E44DC"/>
    <w:rsid w:val="002E6DED"/>
    <w:rsid w:val="002E7270"/>
    <w:rsid w:val="00300956"/>
    <w:rsid w:val="00301406"/>
    <w:rsid w:val="003028C3"/>
    <w:rsid w:val="00304C2E"/>
    <w:rsid w:val="00306B9F"/>
    <w:rsid w:val="00311204"/>
    <w:rsid w:val="003169FD"/>
    <w:rsid w:val="00317187"/>
    <w:rsid w:val="0032499A"/>
    <w:rsid w:val="00325BA9"/>
    <w:rsid w:val="003341F7"/>
    <w:rsid w:val="003413FE"/>
    <w:rsid w:val="00347099"/>
    <w:rsid w:val="00347FEC"/>
    <w:rsid w:val="00356F45"/>
    <w:rsid w:val="00364D97"/>
    <w:rsid w:val="003660E4"/>
    <w:rsid w:val="00366B74"/>
    <w:rsid w:val="0037092E"/>
    <w:rsid w:val="003914C0"/>
    <w:rsid w:val="003927CA"/>
    <w:rsid w:val="003A710A"/>
    <w:rsid w:val="003B08C1"/>
    <w:rsid w:val="003B2B6D"/>
    <w:rsid w:val="003B659E"/>
    <w:rsid w:val="003C275E"/>
    <w:rsid w:val="003C4FDE"/>
    <w:rsid w:val="003D3520"/>
    <w:rsid w:val="003E58DF"/>
    <w:rsid w:val="003F5912"/>
    <w:rsid w:val="00401953"/>
    <w:rsid w:val="00404C4C"/>
    <w:rsid w:val="0041423F"/>
    <w:rsid w:val="00414F81"/>
    <w:rsid w:val="00422FC4"/>
    <w:rsid w:val="004317AC"/>
    <w:rsid w:val="004352B3"/>
    <w:rsid w:val="00436A0F"/>
    <w:rsid w:val="00437150"/>
    <w:rsid w:val="0043750A"/>
    <w:rsid w:val="00437CB2"/>
    <w:rsid w:val="00442C7E"/>
    <w:rsid w:val="00452D70"/>
    <w:rsid w:val="0045351B"/>
    <w:rsid w:val="004562FD"/>
    <w:rsid w:val="00465E7F"/>
    <w:rsid w:val="004732E9"/>
    <w:rsid w:val="004854BB"/>
    <w:rsid w:val="00494493"/>
    <w:rsid w:val="004963A3"/>
    <w:rsid w:val="00496606"/>
    <w:rsid w:val="004A4E9D"/>
    <w:rsid w:val="004B1D0E"/>
    <w:rsid w:val="004B2F14"/>
    <w:rsid w:val="004B6564"/>
    <w:rsid w:val="004C7132"/>
    <w:rsid w:val="004D7323"/>
    <w:rsid w:val="004E5E66"/>
    <w:rsid w:val="004E7ADB"/>
    <w:rsid w:val="004F3426"/>
    <w:rsid w:val="004F657A"/>
    <w:rsid w:val="00503B4D"/>
    <w:rsid w:val="00504EE9"/>
    <w:rsid w:val="00513C73"/>
    <w:rsid w:val="00517705"/>
    <w:rsid w:val="00521576"/>
    <w:rsid w:val="005250E6"/>
    <w:rsid w:val="00536359"/>
    <w:rsid w:val="00542D23"/>
    <w:rsid w:val="0054442C"/>
    <w:rsid w:val="005445E7"/>
    <w:rsid w:val="00550285"/>
    <w:rsid w:val="00562492"/>
    <w:rsid w:val="00572A20"/>
    <w:rsid w:val="005836F8"/>
    <w:rsid w:val="005918FA"/>
    <w:rsid w:val="00592806"/>
    <w:rsid w:val="00592A86"/>
    <w:rsid w:val="00596CB4"/>
    <w:rsid w:val="00597BC2"/>
    <w:rsid w:val="005B4801"/>
    <w:rsid w:val="005C2364"/>
    <w:rsid w:val="005C23A4"/>
    <w:rsid w:val="005C416E"/>
    <w:rsid w:val="005D1CDF"/>
    <w:rsid w:val="005D2BB7"/>
    <w:rsid w:val="005E61A8"/>
    <w:rsid w:val="005F2873"/>
    <w:rsid w:val="005F3B60"/>
    <w:rsid w:val="005F6419"/>
    <w:rsid w:val="00602DE3"/>
    <w:rsid w:val="0060543D"/>
    <w:rsid w:val="006104DD"/>
    <w:rsid w:val="006130B5"/>
    <w:rsid w:val="00614DBA"/>
    <w:rsid w:val="00616702"/>
    <w:rsid w:val="00617400"/>
    <w:rsid w:val="00630EDF"/>
    <w:rsid w:val="00632D29"/>
    <w:rsid w:val="006353B3"/>
    <w:rsid w:val="0064295E"/>
    <w:rsid w:val="0065728D"/>
    <w:rsid w:val="00664950"/>
    <w:rsid w:val="0067065A"/>
    <w:rsid w:val="00682ABF"/>
    <w:rsid w:val="00683220"/>
    <w:rsid w:val="00687FA0"/>
    <w:rsid w:val="00696207"/>
    <w:rsid w:val="006A3C11"/>
    <w:rsid w:val="006B1090"/>
    <w:rsid w:val="006B7010"/>
    <w:rsid w:val="006C3095"/>
    <w:rsid w:val="006D2CE5"/>
    <w:rsid w:val="006E1151"/>
    <w:rsid w:val="006E5D40"/>
    <w:rsid w:val="006E6311"/>
    <w:rsid w:val="006E772D"/>
    <w:rsid w:val="006F0F08"/>
    <w:rsid w:val="007145FF"/>
    <w:rsid w:val="00715B2A"/>
    <w:rsid w:val="00720BD7"/>
    <w:rsid w:val="007450F1"/>
    <w:rsid w:val="007455C5"/>
    <w:rsid w:val="00745D89"/>
    <w:rsid w:val="00751515"/>
    <w:rsid w:val="007626B7"/>
    <w:rsid w:val="00762CEA"/>
    <w:rsid w:val="0076765D"/>
    <w:rsid w:val="007728F0"/>
    <w:rsid w:val="0078212B"/>
    <w:rsid w:val="00784DF6"/>
    <w:rsid w:val="00785232"/>
    <w:rsid w:val="00796F26"/>
    <w:rsid w:val="007A13ED"/>
    <w:rsid w:val="007A6453"/>
    <w:rsid w:val="007B16B8"/>
    <w:rsid w:val="007B186C"/>
    <w:rsid w:val="007B7DBD"/>
    <w:rsid w:val="007C1696"/>
    <w:rsid w:val="007C3ED0"/>
    <w:rsid w:val="007C5971"/>
    <w:rsid w:val="007D6DE1"/>
    <w:rsid w:val="007E3FAF"/>
    <w:rsid w:val="007F54B9"/>
    <w:rsid w:val="007F6587"/>
    <w:rsid w:val="00806A76"/>
    <w:rsid w:val="00811C9D"/>
    <w:rsid w:val="00814232"/>
    <w:rsid w:val="00816C80"/>
    <w:rsid w:val="00816F40"/>
    <w:rsid w:val="008217BE"/>
    <w:rsid w:val="008223E4"/>
    <w:rsid w:val="008247BD"/>
    <w:rsid w:val="00826BA4"/>
    <w:rsid w:val="008347BE"/>
    <w:rsid w:val="00841BCD"/>
    <w:rsid w:val="00846A36"/>
    <w:rsid w:val="00850259"/>
    <w:rsid w:val="00851A8E"/>
    <w:rsid w:val="0085365B"/>
    <w:rsid w:val="0087211F"/>
    <w:rsid w:val="008826C1"/>
    <w:rsid w:val="00883DFD"/>
    <w:rsid w:val="00885163"/>
    <w:rsid w:val="008A1BF7"/>
    <w:rsid w:val="008A5B0E"/>
    <w:rsid w:val="008A6EE5"/>
    <w:rsid w:val="008B0961"/>
    <w:rsid w:val="008C39F7"/>
    <w:rsid w:val="008E0665"/>
    <w:rsid w:val="008E088D"/>
    <w:rsid w:val="008F4638"/>
    <w:rsid w:val="0090091A"/>
    <w:rsid w:val="009042BD"/>
    <w:rsid w:val="00904FE4"/>
    <w:rsid w:val="00936159"/>
    <w:rsid w:val="00947C06"/>
    <w:rsid w:val="00977E1D"/>
    <w:rsid w:val="009833CC"/>
    <w:rsid w:val="00990365"/>
    <w:rsid w:val="009971F0"/>
    <w:rsid w:val="009B0573"/>
    <w:rsid w:val="009B2D17"/>
    <w:rsid w:val="009B3430"/>
    <w:rsid w:val="009B7B4B"/>
    <w:rsid w:val="009B7C21"/>
    <w:rsid w:val="009D422A"/>
    <w:rsid w:val="009E228B"/>
    <w:rsid w:val="009F71EE"/>
    <w:rsid w:val="00A04992"/>
    <w:rsid w:val="00A07BBF"/>
    <w:rsid w:val="00A147AA"/>
    <w:rsid w:val="00A16CB1"/>
    <w:rsid w:val="00A21924"/>
    <w:rsid w:val="00A21D71"/>
    <w:rsid w:val="00A22B78"/>
    <w:rsid w:val="00A25AE5"/>
    <w:rsid w:val="00A333D6"/>
    <w:rsid w:val="00A335D7"/>
    <w:rsid w:val="00A367B2"/>
    <w:rsid w:val="00A37002"/>
    <w:rsid w:val="00A4355E"/>
    <w:rsid w:val="00A61D31"/>
    <w:rsid w:val="00A72ED5"/>
    <w:rsid w:val="00A74EE0"/>
    <w:rsid w:val="00A92BCD"/>
    <w:rsid w:val="00A97687"/>
    <w:rsid w:val="00AA1B0E"/>
    <w:rsid w:val="00AA47B6"/>
    <w:rsid w:val="00AA4A3A"/>
    <w:rsid w:val="00AB3DF7"/>
    <w:rsid w:val="00AB4593"/>
    <w:rsid w:val="00AC163B"/>
    <w:rsid w:val="00AC4A29"/>
    <w:rsid w:val="00AC5CA7"/>
    <w:rsid w:val="00AC6058"/>
    <w:rsid w:val="00AE2BA5"/>
    <w:rsid w:val="00AE56B1"/>
    <w:rsid w:val="00AE6D09"/>
    <w:rsid w:val="00AF1AE2"/>
    <w:rsid w:val="00AF7A7C"/>
    <w:rsid w:val="00B02070"/>
    <w:rsid w:val="00B04472"/>
    <w:rsid w:val="00B15B36"/>
    <w:rsid w:val="00B167C0"/>
    <w:rsid w:val="00B223D3"/>
    <w:rsid w:val="00B408B6"/>
    <w:rsid w:val="00B46413"/>
    <w:rsid w:val="00B542DA"/>
    <w:rsid w:val="00B54CC9"/>
    <w:rsid w:val="00B57ACD"/>
    <w:rsid w:val="00B6466F"/>
    <w:rsid w:val="00B73862"/>
    <w:rsid w:val="00B73F43"/>
    <w:rsid w:val="00B87F8A"/>
    <w:rsid w:val="00BA6B66"/>
    <w:rsid w:val="00BA6E48"/>
    <w:rsid w:val="00BB66EA"/>
    <w:rsid w:val="00BC1AD9"/>
    <w:rsid w:val="00BE0AF6"/>
    <w:rsid w:val="00BE1F03"/>
    <w:rsid w:val="00BE58A7"/>
    <w:rsid w:val="00BF2218"/>
    <w:rsid w:val="00C02F8C"/>
    <w:rsid w:val="00C0426B"/>
    <w:rsid w:val="00C045DF"/>
    <w:rsid w:val="00C26D43"/>
    <w:rsid w:val="00C3611A"/>
    <w:rsid w:val="00C46548"/>
    <w:rsid w:val="00C55F26"/>
    <w:rsid w:val="00C574D5"/>
    <w:rsid w:val="00C66569"/>
    <w:rsid w:val="00C73F32"/>
    <w:rsid w:val="00C87462"/>
    <w:rsid w:val="00CA180C"/>
    <w:rsid w:val="00CA2553"/>
    <w:rsid w:val="00CB22B2"/>
    <w:rsid w:val="00CB529B"/>
    <w:rsid w:val="00CC3EE2"/>
    <w:rsid w:val="00CD7492"/>
    <w:rsid w:val="00CE3A6B"/>
    <w:rsid w:val="00CF4B99"/>
    <w:rsid w:val="00D00211"/>
    <w:rsid w:val="00D00A75"/>
    <w:rsid w:val="00D06309"/>
    <w:rsid w:val="00D351EA"/>
    <w:rsid w:val="00D40288"/>
    <w:rsid w:val="00D41FB8"/>
    <w:rsid w:val="00D43403"/>
    <w:rsid w:val="00D452B8"/>
    <w:rsid w:val="00D5270B"/>
    <w:rsid w:val="00D5660A"/>
    <w:rsid w:val="00D62E71"/>
    <w:rsid w:val="00D6430D"/>
    <w:rsid w:val="00D6522C"/>
    <w:rsid w:val="00D654A0"/>
    <w:rsid w:val="00D66188"/>
    <w:rsid w:val="00D731F6"/>
    <w:rsid w:val="00D740CA"/>
    <w:rsid w:val="00D85728"/>
    <w:rsid w:val="00D95481"/>
    <w:rsid w:val="00DA7C23"/>
    <w:rsid w:val="00DB15E8"/>
    <w:rsid w:val="00DC7A13"/>
    <w:rsid w:val="00DE2065"/>
    <w:rsid w:val="00DE6D4D"/>
    <w:rsid w:val="00DE77ED"/>
    <w:rsid w:val="00DF2997"/>
    <w:rsid w:val="00E10BC4"/>
    <w:rsid w:val="00E1415D"/>
    <w:rsid w:val="00E15FDF"/>
    <w:rsid w:val="00E23CC3"/>
    <w:rsid w:val="00E323E9"/>
    <w:rsid w:val="00E34018"/>
    <w:rsid w:val="00E437D2"/>
    <w:rsid w:val="00E55751"/>
    <w:rsid w:val="00E7406A"/>
    <w:rsid w:val="00EA2311"/>
    <w:rsid w:val="00EB0C82"/>
    <w:rsid w:val="00EB58CD"/>
    <w:rsid w:val="00EB5C71"/>
    <w:rsid w:val="00EC7BC3"/>
    <w:rsid w:val="00ED4698"/>
    <w:rsid w:val="00ED7600"/>
    <w:rsid w:val="00ED7FF1"/>
    <w:rsid w:val="00EE5886"/>
    <w:rsid w:val="00EF006F"/>
    <w:rsid w:val="00EF6073"/>
    <w:rsid w:val="00EF698B"/>
    <w:rsid w:val="00F12ABA"/>
    <w:rsid w:val="00F1362C"/>
    <w:rsid w:val="00F414F1"/>
    <w:rsid w:val="00F508B8"/>
    <w:rsid w:val="00F54298"/>
    <w:rsid w:val="00F72CB1"/>
    <w:rsid w:val="00F73976"/>
    <w:rsid w:val="00F8215E"/>
    <w:rsid w:val="00F824F5"/>
    <w:rsid w:val="00F90FAB"/>
    <w:rsid w:val="00F9374D"/>
    <w:rsid w:val="00F94635"/>
    <w:rsid w:val="00FB5756"/>
    <w:rsid w:val="00FC29B9"/>
    <w:rsid w:val="00FC6FD3"/>
    <w:rsid w:val="00FC7B6B"/>
    <w:rsid w:val="00FE305C"/>
    <w:rsid w:val="00FF0301"/>
    <w:rsid w:val="00FF3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2C475"/>
  <w15:chartTrackingRefBased/>
  <w15:docId w15:val="{7C990CEA-00C3-4DC2-9509-D04942985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15B36"/>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EF006F"/>
    <w:pPr>
      <w:tabs>
        <w:tab w:val="center" w:pos="4513"/>
        <w:tab w:val="right" w:pos="9026"/>
      </w:tabs>
      <w:spacing w:after="0" w:line="240" w:lineRule="auto"/>
      <w:jc w:val="both"/>
    </w:pPr>
  </w:style>
  <w:style w:type="character" w:customStyle="1" w:styleId="HeaderChar">
    <w:name w:val="Header Char"/>
    <w:basedOn w:val="DefaultParagraphFont"/>
    <w:link w:val="Header"/>
    <w:rsid w:val="00EF006F"/>
    <w:rPr>
      <w:rFonts w:ascii="Times New Roman" w:hAnsi="Times New Roman"/>
      <w:sz w:val="20"/>
    </w:rPr>
  </w:style>
  <w:style w:type="paragraph" w:styleId="Footer">
    <w:name w:val="footer"/>
    <w:basedOn w:val="Normal"/>
    <w:link w:val="FooterChar"/>
    <w:uiPriority w:val="99"/>
    <w:semiHidden/>
    <w:unhideWhenUsed/>
    <w:rsid w:val="005363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6359"/>
    <w:rPr>
      <w:rFonts w:ascii="Times New Roman" w:hAnsi="Times New Roman"/>
      <w:sz w:val="20"/>
    </w:rPr>
  </w:style>
  <w:style w:type="character" w:customStyle="1" w:styleId="ui-provider">
    <w:name w:val="ui-provider"/>
    <w:basedOn w:val="DefaultParagraphFont"/>
    <w:rsid w:val="00C55F26"/>
  </w:style>
  <w:style w:type="character" w:styleId="Mention">
    <w:name w:val="Mention"/>
    <w:basedOn w:val="DefaultParagraphFont"/>
    <w:uiPriority w:val="99"/>
    <w:unhideWhenUsed/>
    <w:rsid w:val="00F12ABA"/>
    <w:rPr>
      <w:color w:val="2B579A"/>
      <w:shd w:val="clear" w:color="auto" w:fill="E1DFDD"/>
    </w:rPr>
  </w:style>
  <w:style w:type="paragraph" w:styleId="Revision">
    <w:name w:val="Revision"/>
    <w:hidden/>
    <w:uiPriority w:val="99"/>
    <w:semiHidden/>
    <w:rsid w:val="00E23CC3"/>
    <w:pPr>
      <w:spacing w:after="0" w:line="240" w:lineRule="auto"/>
    </w:pPr>
    <w:rPr>
      <w:rFonts w:ascii="Times New Roman" w:hAnsi="Times New Roman"/>
      <w:sz w:val="20"/>
    </w:rPr>
  </w:style>
  <w:style w:type="character" w:customStyle="1" w:styleId="cf01">
    <w:name w:val="cf01"/>
    <w:basedOn w:val="DefaultParagraphFont"/>
    <w:rsid w:val="00D00A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5G%20Radio%20-%20RAN4%205G%20Documents\RAN4%20107%20Incheon\Rel-18\!Templates\3GPP_Paper_Template_RAN4_%23107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https://nokia.sharepoint.com/sites/c5g/5gradio/_layouts/15/DocIdRedir.aspx?ID=5AIRPNAIUNRU-1328258698-25349</Url>
      <Description>5AIRPNAIUNRU-1328258698-25349</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Kim Nielsen (Nokia)</DisplayName>
        <AccountId>17404</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BB4FE517-D9AF-477B-AB8F-026FDAB90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3GPP_Paper_Template_RAN4_#107_brief</Template>
  <TotalTime>1</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Links>
    <vt:vector size="24" baseType="variant">
      <vt:variant>
        <vt:i4>1179709</vt:i4>
      </vt:variant>
      <vt:variant>
        <vt:i4>20</vt:i4>
      </vt:variant>
      <vt:variant>
        <vt:i4>0</vt:i4>
      </vt:variant>
      <vt:variant>
        <vt:i4>5</vt:i4>
      </vt:variant>
      <vt:variant>
        <vt:lpwstr/>
      </vt:variant>
      <vt:variant>
        <vt:lpwstr>_Toc132796771</vt:lpwstr>
      </vt:variant>
      <vt:variant>
        <vt:i4>1179709</vt:i4>
      </vt:variant>
      <vt:variant>
        <vt:i4>17</vt:i4>
      </vt:variant>
      <vt:variant>
        <vt:i4>0</vt:i4>
      </vt:variant>
      <vt:variant>
        <vt:i4>5</vt:i4>
      </vt:variant>
      <vt:variant>
        <vt:lpwstr/>
      </vt:variant>
      <vt:variant>
        <vt:lpwstr>_Toc132796770</vt:lpwstr>
      </vt:variant>
      <vt:variant>
        <vt:i4>1245245</vt:i4>
      </vt:variant>
      <vt:variant>
        <vt:i4>14</vt:i4>
      </vt:variant>
      <vt:variant>
        <vt:i4>0</vt:i4>
      </vt:variant>
      <vt:variant>
        <vt:i4>5</vt:i4>
      </vt:variant>
      <vt:variant>
        <vt:lpwstr/>
      </vt:variant>
      <vt:variant>
        <vt:lpwstr>_Toc132796769</vt:lpwstr>
      </vt:variant>
      <vt:variant>
        <vt:i4>1245245</vt:i4>
      </vt:variant>
      <vt:variant>
        <vt:i4>11</vt:i4>
      </vt:variant>
      <vt:variant>
        <vt:i4>0</vt:i4>
      </vt:variant>
      <vt:variant>
        <vt:i4>5</vt:i4>
      </vt:variant>
      <vt:variant>
        <vt:lpwstr/>
      </vt:variant>
      <vt:variant>
        <vt:lpwstr>_Toc132796768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cp:revision>
  <dcterms:created xsi:type="dcterms:W3CDTF">2023-08-11T13:23:00Z</dcterms:created>
  <dcterms:modified xsi:type="dcterms:W3CDTF">2023-08-11T13:23:00Z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a4844ea5-32a0-4791-81bd-ab4704a70d59</vt:lpwstr>
  </property>
  <property fmtid="{D5CDD505-2E9C-101B-9397-08002B2CF9AE}" pid="11" name="MediaServiceImageTags">
    <vt:lpwstr/>
  </property>
</Properties>
</file>